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CD7" w:rsidRDefault="002C1598">
      <w:pPr>
        <w:spacing w:line="360" w:lineRule="auto"/>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贵州阳光产权交易所交易服务费收取标准须知</w:t>
      </w:r>
      <w:r>
        <w:rPr>
          <w:rFonts w:asciiTheme="majorEastAsia" w:eastAsiaTheme="majorEastAsia" w:hAnsiTheme="majorEastAsia" w:hint="eastAsia"/>
          <w:b/>
          <w:sz w:val="32"/>
          <w:szCs w:val="32"/>
        </w:rPr>
        <w:t xml:space="preserve">             </w:t>
      </w:r>
      <w:r>
        <w:rPr>
          <w:rFonts w:asciiTheme="majorEastAsia" w:eastAsiaTheme="majorEastAsia" w:hAnsiTheme="majorEastAsia" w:hint="eastAsia"/>
          <w:b/>
          <w:sz w:val="32"/>
          <w:szCs w:val="32"/>
        </w:rPr>
        <w:t>（资产处置类）</w:t>
      </w:r>
    </w:p>
    <w:p w:rsidR="00B07CD7" w:rsidRDefault="002C1598">
      <w:pPr>
        <w:spacing w:line="360" w:lineRule="auto"/>
        <w:rPr>
          <w:rFonts w:asciiTheme="minorEastAsia" w:hAnsiTheme="minorEastAsia"/>
          <w:b/>
          <w:sz w:val="24"/>
          <w:szCs w:val="24"/>
        </w:rPr>
      </w:pPr>
      <w:r>
        <w:rPr>
          <w:rFonts w:asciiTheme="minorEastAsia" w:hAnsiTheme="minorEastAsia" w:hint="eastAsia"/>
          <w:b/>
          <w:sz w:val="24"/>
          <w:szCs w:val="24"/>
        </w:rPr>
        <w:t>意向受让方在项目报名前，应认真阅读本须知。</w:t>
      </w:r>
    </w:p>
    <w:p w:rsidR="00B07CD7" w:rsidRDefault="002C15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为了进一步推进贵州省产权交易市场的规范发展，建立有序竞争的市场秩序，规范各业务类型的收费行为，根据黔产权通</w:t>
      </w:r>
      <w:r>
        <w:rPr>
          <w:rFonts w:asciiTheme="minorEastAsia" w:hAnsiTheme="minorEastAsia" w:hint="eastAsia"/>
          <w:sz w:val="24"/>
          <w:szCs w:val="24"/>
        </w:rPr>
        <w:t>[2020]10</w:t>
      </w:r>
      <w:r>
        <w:rPr>
          <w:rFonts w:asciiTheme="minorEastAsia" w:hAnsiTheme="minorEastAsia" w:hint="eastAsia"/>
          <w:sz w:val="24"/>
          <w:szCs w:val="24"/>
        </w:rPr>
        <w:t>号，现就本所关于资产处置类服务费收取标准告知如下：</w:t>
      </w:r>
    </w:p>
    <w:p w:rsidR="00B07CD7" w:rsidRDefault="002C15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一、资产处置服务费</w:t>
      </w:r>
    </w:p>
    <w:p w:rsidR="00B07CD7" w:rsidRDefault="002C15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资产处置服务费根据成交额按差额定率累进法计算，具体标准如下：</w:t>
      </w:r>
    </w:p>
    <w:tbl>
      <w:tblPr>
        <w:tblW w:w="8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2128"/>
        <w:gridCol w:w="3060"/>
      </w:tblGrid>
      <w:tr w:rsidR="00B07CD7">
        <w:trPr>
          <w:jc w:val="center"/>
        </w:trPr>
        <w:tc>
          <w:tcPr>
            <w:tcW w:w="8028" w:type="dxa"/>
            <w:gridSpan w:val="3"/>
            <w:tcBorders>
              <w:top w:val="single" w:sz="4" w:space="0" w:color="auto"/>
              <w:left w:val="single" w:sz="4" w:space="0" w:color="auto"/>
              <w:bottom w:val="single" w:sz="4" w:space="0" w:color="auto"/>
              <w:right w:val="single" w:sz="4" w:space="0" w:color="auto"/>
            </w:tcBorders>
          </w:tcPr>
          <w:p w:rsidR="00B07CD7" w:rsidRDefault="002C1598">
            <w:pPr>
              <w:spacing w:line="360" w:lineRule="auto"/>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sz w:val="24"/>
                <w:szCs w:val="24"/>
              </w:rPr>
              <w:t>资产处置服务费</w:t>
            </w:r>
            <w:r>
              <w:rPr>
                <w:rFonts w:asciiTheme="minorEastAsia" w:hAnsiTheme="minorEastAsia" w:hint="eastAsia"/>
                <w:sz w:val="24"/>
                <w:szCs w:val="24"/>
              </w:rPr>
              <w:t xml:space="preserve"> </w:t>
            </w:r>
            <w:r>
              <w:rPr>
                <w:rFonts w:asciiTheme="minorEastAsia" w:hAnsiTheme="minorEastAsia" w:hint="eastAsia"/>
                <w:sz w:val="24"/>
                <w:szCs w:val="24"/>
              </w:rPr>
              <w:t>（计价基础：成交价）</w:t>
            </w:r>
          </w:p>
        </w:tc>
      </w:tr>
      <w:tr w:rsidR="00B07CD7">
        <w:trPr>
          <w:jc w:val="center"/>
        </w:trPr>
        <w:tc>
          <w:tcPr>
            <w:tcW w:w="2840" w:type="dxa"/>
            <w:tcBorders>
              <w:top w:val="single" w:sz="4" w:space="0" w:color="auto"/>
              <w:left w:val="single" w:sz="4" w:space="0" w:color="auto"/>
              <w:bottom w:val="single" w:sz="4" w:space="0" w:color="auto"/>
              <w:right w:val="single" w:sz="4" w:space="0" w:color="auto"/>
            </w:tcBorders>
          </w:tcPr>
          <w:p w:rsidR="00B07CD7" w:rsidRDefault="002C1598">
            <w:pPr>
              <w:spacing w:line="360" w:lineRule="auto"/>
              <w:rPr>
                <w:rFonts w:asciiTheme="minorEastAsia" w:hAnsiTheme="minorEastAsia"/>
                <w:sz w:val="24"/>
                <w:szCs w:val="24"/>
              </w:rPr>
            </w:pPr>
            <w:r>
              <w:rPr>
                <w:rFonts w:asciiTheme="minorEastAsia" w:hAnsiTheme="minorEastAsia" w:hint="eastAsia"/>
                <w:sz w:val="24"/>
                <w:szCs w:val="24"/>
              </w:rPr>
              <w:t>成交额（万元）</w:t>
            </w:r>
          </w:p>
        </w:tc>
        <w:tc>
          <w:tcPr>
            <w:tcW w:w="2128" w:type="dxa"/>
            <w:tcBorders>
              <w:top w:val="single" w:sz="4" w:space="0" w:color="auto"/>
              <w:left w:val="single" w:sz="4" w:space="0" w:color="auto"/>
              <w:bottom w:val="single" w:sz="4" w:space="0" w:color="auto"/>
              <w:right w:val="single" w:sz="4" w:space="0" w:color="auto"/>
            </w:tcBorders>
          </w:tcPr>
          <w:p w:rsidR="00B07CD7" w:rsidRDefault="002C1598">
            <w:pPr>
              <w:spacing w:line="360" w:lineRule="auto"/>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sz w:val="24"/>
                <w:szCs w:val="24"/>
              </w:rPr>
              <w:t>费</w:t>
            </w:r>
            <w:r>
              <w:rPr>
                <w:rFonts w:asciiTheme="minorEastAsia" w:hAnsiTheme="minorEastAsia" w:hint="eastAsia"/>
                <w:sz w:val="24"/>
                <w:szCs w:val="24"/>
              </w:rPr>
              <w:t xml:space="preserve">  </w:t>
            </w:r>
            <w:r>
              <w:rPr>
                <w:rFonts w:asciiTheme="minorEastAsia" w:hAnsiTheme="minorEastAsia" w:hint="eastAsia"/>
                <w:sz w:val="24"/>
                <w:szCs w:val="24"/>
              </w:rPr>
              <w:t>率</w:t>
            </w:r>
          </w:p>
        </w:tc>
        <w:tc>
          <w:tcPr>
            <w:tcW w:w="3060" w:type="dxa"/>
            <w:tcBorders>
              <w:top w:val="single" w:sz="4" w:space="0" w:color="auto"/>
              <w:left w:val="single" w:sz="4" w:space="0" w:color="auto"/>
              <w:bottom w:val="single" w:sz="4" w:space="0" w:color="auto"/>
              <w:right w:val="single" w:sz="4" w:space="0" w:color="auto"/>
            </w:tcBorders>
          </w:tcPr>
          <w:p w:rsidR="00B07CD7" w:rsidRDefault="002C1598">
            <w:pPr>
              <w:spacing w:line="360" w:lineRule="auto"/>
              <w:ind w:firstLineChars="450" w:firstLine="1080"/>
              <w:rPr>
                <w:rFonts w:asciiTheme="minorEastAsia" w:hAnsiTheme="minorEastAsia"/>
                <w:sz w:val="24"/>
                <w:szCs w:val="24"/>
              </w:rPr>
            </w:pPr>
            <w:r>
              <w:rPr>
                <w:rFonts w:asciiTheme="minorEastAsia" w:hAnsiTheme="minorEastAsia" w:hint="eastAsia"/>
                <w:sz w:val="24"/>
                <w:szCs w:val="24"/>
              </w:rPr>
              <w:t>收费对象</w:t>
            </w:r>
          </w:p>
        </w:tc>
      </w:tr>
      <w:tr w:rsidR="00B07CD7">
        <w:trPr>
          <w:jc w:val="center"/>
        </w:trPr>
        <w:tc>
          <w:tcPr>
            <w:tcW w:w="2840" w:type="dxa"/>
            <w:tcBorders>
              <w:top w:val="single" w:sz="4" w:space="0" w:color="auto"/>
              <w:left w:val="single" w:sz="4" w:space="0" w:color="auto"/>
              <w:bottom w:val="single" w:sz="4" w:space="0" w:color="auto"/>
              <w:right w:val="single" w:sz="4" w:space="0" w:color="auto"/>
            </w:tcBorders>
          </w:tcPr>
          <w:p w:rsidR="00B07CD7" w:rsidRDefault="002C1598">
            <w:pPr>
              <w:spacing w:line="360" w:lineRule="auto"/>
              <w:rPr>
                <w:rFonts w:asciiTheme="minorEastAsia" w:hAnsiTheme="minorEastAsia"/>
                <w:sz w:val="24"/>
                <w:szCs w:val="24"/>
              </w:rPr>
            </w:pPr>
            <w:r>
              <w:rPr>
                <w:rFonts w:asciiTheme="minorEastAsia" w:hAnsiTheme="minorEastAsia" w:hint="eastAsia"/>
                <w:sz w:val="24"/>
                <w:szCs w:val="24"/>
              </w:rPr>
              <w:t>1000</w:t>
            </w:r>
            <w:r>
              <w:rPr>
                <w:rFonts w:asciiTheme="minorEastAsia" w:hAnsiTheme="minorEastAsia" w:hint="eastAsia"/>
                <w:sz w:val="24"/>
                <w:szCs w:val="24"/>
              </w:rPr>
              <w:t>（含）以下</w:t>
            </w:r>
          </w:p>
        </w:tc>
        <w:tc>
          <w:tcPr>
            <w:tcW w:w="2128" w:type="dxa"/>
            <w:tcBorders>
              <w:top w:val="single" w:sz="4" w:space="0" w:color="auto"/>
              <w:left w:val="single" w:sz="4" w:space="0" w:color="auto"/>
              <w:bottom w:val="single" w:sz="4" w:space="0" w:color="auto"/>
              <w:right w:val="single" w:sz="4" w:space="0" w:color="auto"/>
            </w:tcBorders>
          </w:tcPr>
          <w:p w:rsidR="00B07CD7" w:rsidRDefault="002C1598">
            <w:pPr>
              <w:spacing w:line="360" w:lineRule="auto"/>
              <w:rPr>
                <w:rFonts w:asciiTheme="minorEastAsia" w:hAnsiTheme="minorEastAsia"/>
                <w:sz w:val="24"/>
                <w:szCs w:val="24"/>
              </w:rPr>
            </w:pPr>
            <w:r>
              <w:rPr>
                <w:rFonts w:asciiTheme="minorEastAsia" w:hAnsiTheme="minorEastAsia" w:hint="eastAsia"/>
                <w:sz w:val="24"/>
                <w:szCs w:val="24"/>
              </w:rPr>
              <w:t xml:space="preserve">      2.0%</w:t>
            </w:r>
          </w:p>
        </w:tc>
        <w:tc>
          <w:tcPr>
            <w:tcW w:w="3060" w:type="dxa"/>
            <w:tcBorders>
              <w:top w:val="single" w:sz="4" w:space="0" w:color="auto"/>
              <w:left w:val="single" w:sz="4" w:space="0" w:color="auto"/>
              <w:bottom w:val="single" w:sz="4" w:space="0" w:color="auto"/>
              <w:right w:val="single" w:sz="4" w:space="0" w:color="auto"/>
            </w:tcBorders>
          </w:tcPr>
          <w:p w:rsidR="00B07CD7" w:rsidRDefault="002C1598">
            <w:pPr>
              <w:spacing w:line="360" w:lineRule="auto"/>
              <w:ind w:firstLineChars="500" w:firstLine="1200"/>
              <w:rPr>
                <w:rFonts w:asciiTheme="minorEastAsia" w:hAnsiTheme="minorEastAsia"/>
                <w:sz w:val="24"/>
                <w:szCs w:val="24"/>
              </w:rPr>
            </w:pPr>
            <w:r>
              <w:rPr>
                <w:rFonts w:asciiTheme="minorEastAsia" w:hAnsiTheme="minorEastAsia" w:hint="eastAsia"/>
                <w:sz w:val="24"/>
                <w:szCs w:val="24"/>
              </w:rPr>
              <w:t>受让方</w:t>
            </w:r>
          </w:p>
        </w:tc>
      </w:tr>
      <w:tr w:rsidR="00B07CD7">
        <w:trPr>
          <w:jc w:val="center"/>
        </w:trPr>
        <w:tc>
          <w:tcPr>
            <w:tcW w:w="2840" w:type="dxa"/>
            <w:tcBorders>
              <w:top w:val="single" w:sz="4" w:space="0" w:color="auto"/>
              <w:left w:val="single" w:sz="4" w:space="0" w:color="auto"/>
              <w:bottom w:val="single" w:sz="4" w:space="0" w:color="auto"/>
              <w:right w:val="single" w:sz="4" w:space="0" w:color="auto"/>
            </w:tcBorders>
          </w:tcPr>
          <w:p w:rsidR="00B07CD7" w:rsidRDefault="002C1598">
            <w:pPr>
              <w:spacing w:line="360" w:lineRule="auto"/>
              <w:rPr>
                <w:rFonts w:asciiTheme="minorEastAsia" w:hAnsiTheme="minorEastAsia"/>
                <w:sz w:val="24"/>
                <w:szCs w:val="24"/>
              </w:rPr>
            </w:pPr>
            <w:r>
              <w:rPr>
                <w:rFonts w:asciiTheme="minorEastAsia" w:hAnsiTheme="minorEastAsia" w:hint="eastAsia"/>
                <w:sz w:val="24"/>
                <w:szCs w:val="24"/>
              </w:rPr>
              <w:t>1000</w:t>
            </w:r>
            <w:r>
              <w:rPr>
                <w:rFonts w:asciiTheme="minorEastAsia" w:hAnsiTheme="minorEastAsia" w:hint="eastAsia"/>
                <w:sz w:val="24"/>
                <w:szCs w:val="24"/>
              </w:rPr>
              <w:t>——</w:t>
            </w:r>
            <w:r>
              <w:rPr>
                <w:rFonts w:asciiTheme="minorEastAsia" w:hAnsiTheme="minorEastAsia" w:hint="eastAsia"/>
                <w:sz w:val="24"/>
                <w:szCs w:val="24"/>
              </w:rPr>
              <w:t>5000</w:t>
            </w:r>
            <w:r>
              <w:rPr>
                <w:rFonts w:asciiTheme="minorEastAsia" w:hAnsiTheme="minorEastAsia" w:hint="eastAsia"/>
                <w:sz w:val="24"/>
                <w:szCs w:val="24"/>
              </w:rPr>
              <w:t>（含）</w:t>
            </w:r>
          </w:p>
        </w:tc>
        <w:tc>
          <w:tcPr>
            <w:tcW w:w="2128" w:type="dxa"/>
            <w:tcBorders>
              <w:top w:val="single" w:sz="4" w:space="0" w:color="auto"/>
              <w:left w:val="single" w:sz="4" w:space="0" w:color="auto"/>
              <w:bottom w:val="single" w:sz="4" w:space="0" w:color="auto"/>
              <w:right w:val="single" w:sz="4" w:space="0" w:color="auto"/>
            </w:tcBorders>
          </w:tcPr>
          <w:p w:rsidR="00B07CD7" w:rsidRDefault="002C1598">
            <w:pPr>
              <w:spacing w:line="360" w:lineRule="auto"/>
              <w:rPr>
                <w:rFonts w:asciiTheme="minorEastAsia" w:hAnsiTheme="minorEastAsia"/>
                <w:sz w:val="24"/>
                <w:szCs w:val="24"/>
              </w:rPr>
            </w:pPr>
            <w:r>
              <w:rPr>
                <w:rFonts w:asciiTheme="minorEastAsia" w:hAnsiTheme="minorEastAsia" w:hint="eastAsia"/>
                <w:sz w:val="24"/>
                <w:szCs w:val="24"/>
              </w:rPr>
              <w:t xml:space="preserve">      1.3%</w:t>
            </w:r>
          </w:p>
        </w:tc>
        <w:tc>
          <w:tcPr>
            <w:tcW w:w="3060" w:type="dxa"/>
            <w:tcBorders>
              <w:top w:val="single" w:sz="4" w:space="0" w:color="auto"/>
              <w:left w:val="single" w:sz="4" w:space="0" w:color="auto"/>
              <w:bottom w:val="single" w:sz="4" w:space="0" w:color="auto"/>
              <w:right w:val="single" w:sz="4" w:space="0" w:color="auto"/>
            </w:tcBorders>
          </w:tcPr>
          <w:p w:rsidR="00B07CD7" w:rsidRDefault="002C1598">
            <w:pPr>
              <w:spacing w:line="360" w:lineRule="auto"/>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sz w:val="24"/>
                <w:szCs w:val="24"/>
              </w:rPr>
              <w:t>受让方</w:t>
            </w:r>
          </w:p>
        </w:tc>
      </w:tr>
      <w:tr w:rsidR="00B07CD7">
        <w:trPr>
          <w:jc w:val="center"/>
        </w:trPr>
        <w:tc>
          <w:tcPr>
            <w:tcW w:w="2840" w:type="dxa"/>
            <w:tcBorders>
              <w:top w:val="single" w:sz="4" w:space="0" w:color="auto"/>
              <w:left w:val="single" w:sz="4" w:space="0" w:color="auto"/>
              <w:bottom w:val="single" w:sz="4" w:space="0" w:color="auto"/>
              <w:right w:val="single" w:sz="4" w:space="0" w:color="auto"/>
            </w:tcBorders>
          </w:tcPr>
          <w:p w:rsidR="00B07CD7" w:rsidRDefault="002C1598">
            <w:pPr>
              <w:spacing w:line="360" w:lineRule="auto"/>
              <w:rPr>
                <w:rFonts w:asciiTheme="minorEastAsia" w:hAnsiTheme="minorEastAsia"/>
                <w:sz w:val="24"/>
                <w:szCs w:val="24"/>
              </w:rPr>
            </w:pPr>
            <w:r>
              <w:rPr>
                <w:rFonts w:asciiTheme="minorEastAsia" w:hAnsiTheme="minorEastAsia" w:hint="eastAsia"/>
                <w:sz w:val="24"/>
                <w:szCs w:val="24"/>
              </w:rPr>
              <w:t>5000</w:t>
            </w:r>
            <w:r>
              <w:rPr>
                <w:rFonts w:asciiTheme="minorEastAsia" w:hAnsiTheme="minorEastAsia" w:hint="eastAsia"/>
                <w:sz w:val="24"/>
                <w:szCs w:val="24"/>
              </w:rPr>
              <w:t>——</w:t>
            </w:r>
            <w:r>
              <w:rPr>
                <w:rFonts w:asciiTheme="minorEastAsia" w:hAnsiTheme="minorEastAsia" w:hint="eastAsia"/>
                <w:sz w:val="24"/>
                <w:szCs w:val="24"/>
              </w:rPr>
              <w:t>10000</w:t>
            </w:r>
            <w:r>
              <w:rPr>
                <w:rFonts w:asciiTheme="minorEastAsia" w:hAnsiTheme="minorEastAsia" w:hint="eastAsia"/>
                <w:sz w:val="24"/>
                <w:szCs w:val="24"/>
              </w:rPr>
              <w:t>（含）</w:t>
            </w:r>
          </w:p>
        </w:tc>
        <w:tc>
          <w:tcPr>
            <w:tcW w:w="2128" w:type="dxa"/>
            <w:tcBorders>
              <w:top w:val="single" w:sz="4" w:space="0" w:color="auto"/>
              <w:left w:val="single" w:sz="4" w:space="0" w:color="auto"/>
              <w:bottom w:val="single" w:sz="4" w:space="0" w:color="auto"/>
              <w:right w:val="single" w:sz="4" w:space="0" w:color="auto"/>
            </w:tcBorders>
          </w:tcPr>
          <w:p w:rsidR="00B07CD7" w:rsidRDefault="002C1598">
            <w:pPr>
              <w:spacing w:line="360" w:lineRule="auto"/>
              <w:rPr>
                <w:rFonts w:asciiTheme="minorEastAsia" w:hAnsiTheme="minorEastAsia"/>
                <w:sz w:val="24"/>
                <w:szCs w:val="24"/>
              </w:rPr>
            </w:pPr>
            <w:r>
              <w:rPr>
                <w:rFonts w:asciiTheme="minorEastAsia" w:hAnsiTheme="minorEastAsia" w:hint="eastAsia"/>
                <w:sz w:val="24"/>
                <w:szCs w:val="24"/>
              </w:rPr>
              <w:t xml:space="preserve">      0.7%</w:t>
            </w:r>
          </w:p>
        </w:tc>
        <w:tc>
          <w:tcPr>
            <w:tcW w:w="3060" w:type="dxa"/>
            <w:tcBorders>
              <w:top w:val="single" w:sz="4" w:space="0" w:color="auto"/>
              <w:left w:val="single" w:sz="4" w:space="0" w:color="auto"/>
              <w:bottom w:val="single" w:sz="4" w:space="0" w:color="auto"/>
              <w:right w:val="single" w:sz="4" w:space="0" w:color="auto"/>
            </w:tcBorders>
          </w:tcPr>
          <w:p w:rsidR="00B07CD7" w:rsidRDefault="002C1598">
            <w:pPr>
              <w:spacing w:line="360" w:lineRule="auto"/>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sz w:val="24"/>
                <w:szCs w:val="24"/>
              </w:rPr>
              <w:t>受让方</w:t>
            </w:r>
          </w:p>
        </w:tc>
      </w:tr>
      <w:tr w:rsidR="00B07CD7">
        <w:trPr>
          <w:jc w:val="center"/>
        </w:trPr>
        <w:tc>
          <w:tcPr>
            <w:tcW w:w="2840" w:type="dxa"/>
            <w:tcBorders>
              <w:top w:val="single" w:sz="4" w:space="0" w:color="auto"/>
              <w:left w:val="single" w:sz="4" w:space="0" w:color="auto"/>
              <w:bottom w:val="single" w:sz="4" w:space="0" w:color="auto"/>
              <w:right w:val="single" w:sz="4" w:space="0" w:color="auto"/>
            </w:tcBorders>
          </w:tcPr>
          <w:p w:rsidR="00B07CD7" w:rsidRDefault="002C1598">
            <w:pPr>
              <w:spacing w:line="360" w:lineRule="auto"/>
              <w:rPr>
                <w:rFonts w:asciiTheme="minorEastAsia" w:hAnsiTheme="minorEastAsia"/>
                <w:sz w:val="24"/>
                <w:szCs w:val="24"/>
              </w:rPr>
            </w:pPr>
            <w:r>
              <w:rPr>
                <w:rFonts w:asciiTheme="minorEastAsia" w:hAnsiTheme="minorEastAsia" w:hint="eastAsia"/>
                <w:sz w:val="24"/>
                <w:szCs w:val="24"/>
              </w:rPr>
              <w:t>10000</w:t>
            </w:r>
            <w:r>
              <w:rPr>
                <w:rFonts w:asciiTheme="minorEastAsia" w:hAnsiTheme="minorEastAsia" w:hint="eastAsia"/>
                <w:sz w:val="24"/>
                <w:szCs w:val="24"/>
              </w:rPr>
              <w:t>——</w:t>
            </w:r>
            <w:r>
              <w:rPr>
                <w:rFonts w:asciiTheme="minorEastAsia" w:hAnsiTheme="minorEastAsia" w:hint="eastAsia"/>
                <w:sz w:val="24"/>
                <w:szCs w:val="24"/>
              </w:rPr>
              <w:t>50000</w:t>
            </w:r>
            <w:r>
              <w:rPr>
                <w:rFonts w:asciiTheme="minorEastAsia" w:hAnsiTheme="minorEastAsia" w:hint="eastAsia"/>
                <w:sz w:val="24"/>
                <w:szCs w:val="24"/>
              </w:rPr>
              <w:t>（含）</w:t>
            </w:r>
          </w:p>
        </w:tc>
        <w:tc>
          <w:tcPr>
            <w:tcW w:w="2128" w:type="dxa"/>
            <w:tcBorders>
              <w:top w:val="single" w:sz="4" w:space="0" w:color="auto"/>
              <w:left w:val="single" w:sz="4" w:space="0" w:color="auto"/>
              <w:bottom w:val="single" w:sz="4" w:space="0" w:color="auto"/>
              <w:right w:val="single" w:sz="4" w:space="0" w:color="auto"/>
            </w:tcBorders>
          </w:tcPr>
          <w:p w:rsidR="00B07CD7" w:rsidRDefault="002C1598">
            <w:pPr>
              <w:spacing w:line="360" w:lineRule="auto"/>
              <w:rPr>
                <w:rFonts w:asciiTheme="minorEastAsia" w:hAnsiTheme="minorEastAsia"/>
                <w:sz w:val="24"/>
                <w:szCs w:val="24"/>
              </w:rPr>
            </w:pPr>
            <w:r>
              <w:rPr>
                <w:rFonts w:asciiTheme="minorEastAsia" w:hAnsiTheme="minorEastAsia" w:hint="eastAsia"/>
                <w:sz w:val="24"/>
                <w:szCs w:val="24"/>
              </w:rPr>
              <w:t xml:space="preserve">      0.4%</w:t>
            </w:r>
          </w:p>
        </w:tc>
        <w:tc>
          <w:tcPr>
            <w:tcW w:w="3060" w:type="dxa"/>
            <w:tcBorders>
              <w:top w:val="single" w:sz="4" w:space="0" w:color="auto"/>
              <w:left w:val="single" w:sz="4" w:space="0" w:color="auto"/>
              <w:bottom w:val="single" w:sz="4" w:space="0" w:color="auto"/>
              <w:right w:val="single" w:sz="4" w:space="0" w:color="auto"/>
            </w:tcBorders>
          </w:tcPr>
          <w:p w:rsidR="00B07CD7" w:rsidRDefault="002C1598">
            <w:pPr>
              <w:spacing w:line="360" w:lineRule="auto"/>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sz w:val="24"/>
                <w:szCs w:val="24"/>
              </w:rPr>
              <w:t>受让方</w:t>
            </w:r>
          </w:p>
        </w:tc>
      </w:tr>
      <w:tr w:rsidR="00B07CD7">
        <w:trPr>
          <w:jc w:val="center"/>
        </w:trPr>
        <w:tc>
          <w:tcPr>
            <w:tcW w:w="2840" w:type="dxa"/>
            <w:tcBorders>
              <w:top w:val="single" w:sz="4" w:space="0" w:color="auto"/>
              <w:left w:val="single" w:sz="4" w:space="0" w:color="auto"/>
              <w:bottom w:val="single" w:sz="4" w:space="0" w:color="auto"/>
              <w:right w:val="single" w:sz="4" w:space="0" w:color="auto"/>
            </w:tcBorders>
          </w:tcPr>
          <w:p w:rsidR="00B07CD7" w:rsidRDefault="002C1598">
            <w:pPr>
              <w:spacing w:line="360" w:lineRule="auto"/>
              <w:rPr>
                <w:rFonts w:asciiTheme="minorEastAsia" w:hAnsiTheme="minorEastAsia"/>
                <w:sz w:val="24"/>
                <w:szCs w:val="24"/>
              </w:rPr>
            </w:pPr>
            <w:r>
              <w:rPr>
                <w:rFonts w:asciiTheme="minorEastAsia" w:hAnsiTheme="minorEastAsia" w:hint="eastAsia"/>
                <w:sz w:val="24"/>
                <w:szCs w:val="24"/>
              </w:rPr>
              <w:t>50000</w:t>
            </w:r>
            <w:r>
              <w:rPr>
                <w:rFonts w:asciiTheme="minorEastAsia" w:hAnsiTheme="minorEastAsia" w:hint="eastAsia"/>
                <w:sz w:val="24"/>
                <w:szCs w:val="24"/>
              </w:rPr>
              <w:t>以上</w:t>
            </w:r>
          </w:p>
        </w:tc>
        <w:tc>
          <w:tcPr>
            <w:tcW w:w="2128" w:type="dxa"/>
            <w:tcBorders>
              <w:top w:val="single" w:sz="4" w:space="0" w:color="auto"/>
              <w:left w:val="single" w:sz="4" w:space="0" w:color="auto"/>
              <w:bottom w:val="single" w:sz="4" w:space="0" w:color="auto"/>
              <w:right w:val="single" w:sz="4" w:space="0" w:color="auto"/>
            </w:tcBorders>
          </w:tcPr>
          <w:p w:rsidR="00B07CD7" w:rsidRDefault="002C1598">
            <w:pPr>
              <w:spacing w:line="360" w:lineRule="auto"/>
              <w:rPr>
                <w:rFonts w:asciiTheme="minorEastAsia" w:hAnsiTheme="minorEastAsia"/>
                <w:sz w:val="24"/>
                <w:szCs w:val="24"/>
              </w:rPr>
            </w:pPr>
            <w:r>
              <w:rPr>
                <w:rFonts w:asciiTheme="minorEastAsia" w:hAnsiTheme="minorEastAsia" w:hint="eastAsia"/>
                <w:sz w:val="24"/>
                <w:szCs w:val="24"/>
              </w:rPr>
              <w:t xml:space="preserve">      0.2%</w:t>
            </w:r>
          </w:p>
        </w:tc>
        <w:tc>
          <w:tcPr>
            <w:tcW w:w="3060" w:type="dxa"/>
            <w:tcBorders>
              <w:top w:val="single" w:sz="4" w:space="0" w:color="auto"/>
              <w:left w:val="single" w:sz="4" w:space="0" w:color="auto"/>
              <w:bottom w:val="single" w:sz="4" w:space="0" w:color="auto"/>
              <w:right w:val="single" w:sz="4" w:space="0" w:color="auto"/>
            </w:tcBorders>
          </w:tcPr>
          <w:p w:rsidR="00B07CD7" w:rsidRDefault="002C1598">
            <w:pPr>
              <w:spacing w:line="360" w:lineRule="auto"/>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sz w:val="24"/>
                <w:szCs w:val="24"/>
              </w:rPr>
              <w:t>受让方</w:t>
            </w:r>
          </w:p>
        </w:tc>
      </w:tr>
    </w:tbl>
    <w:p w:rsidR="00B07CD7" w:rsidRDefault="002C1598">
      <w:pPr>
        <w:tabs>
          <w:tab w:val="left" w:pos="0"/>
        </w:tabs>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注</w:t>
      </w:r>
      <w:r>
        <w:rPr>
          <w:rFonts w:asciiTheme="minorEastAsia" w:hAnsiTheme="minorEastAsia"/>
          <w:sz w:val="24"/>
          <w:szCs w:val="24"/>
        </w:rPr>
        <w:t>：</w:t>
      </w:r>
      <w:r>
        <w:rPr>
          <w:rFonts w:asciiTheme="minorEastAsia" w:hAnsiTheme="minorEastAsia" w:hint="eastAsia"/>
          <w:sz w:val="24"/>
          <w:szCs w:val="24"/>
        </w:rPr>
        <w:t>按上述标准计算，资产处置交易服务费不足</w:t>
      </w:r>
      <w:r>
        <w:rPr>
          <w:rFonts w:asciiTheme="minorEastAsia" w:hAnsiTheme="minorEastAsia" w:hint="eastAsia"/>
          <w:sz w:val="24"/>
          <w:szCs w:val="24"/>
        </w:rPr>
        <w:t>500</w:t>
      </w:r>
      <w:r>
        <w:rPr>
          <w:rFonts w:asciiTheme="minorEastAsia" w:hAnsiTheme="minorEastAsia" w:hint="eastAsia"/>
          <w:sz w:val="24"/>
          <w:szCs w:val="24"/>
        </w:rPr>
        <w:t>元的按</w:t>
      </w:r>
      <w:r>
        <w:rPr>
          <w:rFonts w:asciiTheme="minorEastAsia" w:hAnsiTheme="minorEastAsia" w:hint="eastAsia"/>
          <w:sz w:val="24"/>
          <w:szCs w:val="24"/>
        </w:rPr>
        <w:t>500</w:t>
      </w:r>
      <w:r>
        <w:rPr>
          <w:rFonts w:asciiTheme="minorEastAsia" w:hAnsiTheme="minorEastAsia" w:hint="eastAsia"/>
          <w:sz w:val="24"/>
          <w:szCs w:val="24"/>
        </w:rPr>
        <w:t>元收取；</w:t>
      </w:r>
      <w:r>
        <w:rPr>
          <w:rFonts w:asciiTheme="minorEastAsia" w:hAnsiTheme="minorEastAsia" w:hint="eastAsia"/>
          <w:sz w:val="24"/>
          <w:szCs w:val="24"/>
        </w:rPr>
        <w:t>2</w:t>
      </w:r>
      <w:r>
        <w:rPr>
          <w:rFonts w:asciiTheme="minorEastAsia" w:hAnsiTheme="minorEastAsia" w:hint="eastAsia"/>
          <w:sz w:val="24"/>
          <w:szCs w:val="24"/>
        </w:rPr>
        <w:t>、</w:t>
      </w:r>
      <w:r>
        <w:rPr>
          <w:rFonts w:asciiTheme="minorEastAsia" w:hAnsiTheme="minorEastAsia" w:hint="eastAsia"/>
          <w:sz w:val="24"/>
          <w:szCs w:val="24"/>
        </w:rPr>
        <w:t>竞价</w:t>
      </w:r>
      <w:r>
        <w:rPr>
          <w:rFonts w:asciiTheme="minorEastAsia" w:hAnsiTheme="minorEastAsia" w:hint="eastAsia"/>
          <w:sz w:val="24"/>
          <w:szCs w:val="24"/>
        </w:rPr>
        <w:t>项目，除交纳资产处置服务费外，还须交纳本须知第二条之公开遴选服务费。</w:t>
      </w:r>
    </w:p>
    <w:p w:rsidR="00B07CD7" w:rsidRDefault="002C1598">
      <w:pPr>
        <w:spacing w:line="360" w:lineRule="auto"/>
        <w:ind w:left="435" w:firstLineChars="50" w:firstLine="120"/>
        <w:rPr>
          <w:rFonts w:asciiTheme="minorEastAsia" w:hAnsiTheme="minorEastAsia"/>
          <w:sz w:val="24"/>
          <w:szCs w:val="24"/>
        </w:rPr>
      </w:pPr>
      <w:r>
        <w:rPr>
          <w:rFonts w:asciiTheme="minorEastAsia" w:hAnsiTheme="minorEastAsia" w:hint="eastAsia"/>
          <w:sz w:val="24"/>
          <w:szCs w:val="24"/>
        </w:rPr>
        <w:t>二、公开遴选服务费</w:t>
      </w:r>
    </w:p>
    <w:p w:rsidR="00B07CD7" w:rsidRDefault="002C15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公开遴选服务费指通过遴选确定最终受让方（投资方）而收取的服务费，公开遴选服务费包括采取网络竞价、竞争性谈判、综合评议等遴选方式所收取的服务费。</w:t>
      </w:r>
    </w:p>
    <w:p w:rsidR="00B07CD7" w:rsidRDefault="002C15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公开遴选服务费根据成交额按差额定率累进法计算，具体标准如下：</w:t>
      </w:r>
    </w:p>
    <w:tbl>
      <w:tblPr>
        <w:tblW w:w="8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2124"/>
        <w:gridCol w:w="3064"/>
      </w:tblGrid>
      <w:tr w:rsidR="007E1CB9" w:rsidRPr="00FA279B" w:rsidTr="007E1CB9">
        <w:trPr>
          <w:jc w:val="center"/>
        </w:trPr>
        <w:tc>
          <w:tcPr>
            <w:tcW w:w="8028" w:type="dxa"/>
            <w:gridSpan w:val="3"/>
            <w:tcBorders>
              <w:top w:val="single" w:sz="4" w:space="0" w:color="auto"/>
              <w:left w:val="single" w:sz="4" w:space="0" w:color="auto"/>
              <w:bottom w:val="single" w:sz="4" w:space="0" w:color="auto"/>
              <w:right w:val="single" w:sz="4" w:space="0" w:color="auto"/>
            </w:tcBorders>
          </w:tcPr>
          <w:p w:rsidR="007E1CB9" w:rsidRDefault="007E1CB9">
            <w:pPr>
              <w:spacing w:line="360" w:lineRule="auto"/>
              <w:rPr>
                <w:rFonts w:asciiTheme="minorEastAsia" w:hAnsiTheme="minorEastAsia"/>
                <w:sz w:val="24"/>
                <w:szCs w:val="24"/>
              </w:rPr>
            </w:pPr>
            <w:r>
              <w:rPr>
                <w:rFonts w:asciiTheme="minorEastAsia" w:hAnsiTheme="minorEastAsia" w:hint="eastAsia"/>
                <w:sz w:val="24"/>
                <w:szCs w:val="24"/>
              </w:rPr>
              <w:t xml:space="preserve">                公开遴选服务费 （计价基础：成交价）</w:t>
            </w:r>
          </w:p>
        </w:tc>
      </w:tr>
      <w:tr w:rsidR="007E1CB9" w:rsidTr="007E1CB9">
        <w:trPr>
          <w:jc w:val="center"/>
        </w:trPr>
        <w:tc>
          <w:tcPr>
            <w:tcW w:w="2840" w:type="dxa"/>
            <w:tcBorders>
              <w:top w:val="single" w:sz="4" w:space="0" w:color="auto"/>
              <w:left w:val="single" w:sz="4" w:space="0" w:color="auto"/>
              <w:bottom w:val="single" w:sz="4" w:space="0" w:color="auto"/>
              <w:right w:val="single" w:sz="4" w:space="0" w:color="auto"/>
            </w:tcBorders>
          </w:tcPr>
          <w:p w:rsidR="007E1CB9" w:rsidRDefault="007E1CB9">
            <w:pPr>
              <w:spacing w:line="360" w:lineRule="auto"/>
              <w:rPr>
                <w:rFonts w:asciiTheme="minorEastAsia" w:hAnsiTheme="minorEastAsia"/>
                <w:sz w:val="24"/>
                <w:szCs w:val="24"/>
              </w:rPr>
            </w:pPr>
            <w:r>
              <w:rPr>
                <w:rFonts w:asciiTheme="minorEastAsia" w:hAnsiTheme="minorEastAsia" w:hint="eastAsia"/>
                <w:sz w:val="24"/>
                <w:szCs w:val="24"/>
              </w:rPr>
              <w:t>成交额（万元）</w:t>
            </w:r>
          </w:p>
        </w:tc>
        <w:tc>
          <w:tcPr>
            <w:tcW w:w="2124" w:type="dxa"/>
            <w:tcBorders>
              <w:top w:val="single" w:sz="4" w:space="0" w:color="auto"/>
              <w:left w:val="single" w:sz="4" w:space="0" w:color="auto"/>
              <w:bottom w:val="single" w:sz="4" w:space="0" w:color="auto"/>
              <w:right w:val="single" w:sz="4" w:space="0" w:color="auto"/>
            </w:tcBorders>
          </w:tcPr>
          <w:p w:rsidR="007E1CB9" w:rsidRDefault="007E1CB9" w:rsidP="007E1CB9">
            <w:pPr>
              <w:spacing w:line="360" w:lineRule="auto"/>
              <w:jc w:val="center"/>
              <w:rPr>
                <w:rFonts w:asciiTheme="minorEastAsia" w:hAnsiTheme="minorEastAsia"/>
                <w:sz w:val="24"/>
                <w:szCs w:val="24"/>
              </w:rPr>
            </w:pPr>
            <w:r>
              <w:rPr>
                <w:rFonts w:asciiTheme="minorEastAsia" w:hAnsiTheme="minorEastAsia" w:hint="eastAsia"/>
                <w:sz w:val="24"/>
                <w:szCs w:val="24"/>
              </w:rPr>
              <w:t>费  率</w:t>
            </w:r>
          </w:p>
        </w:tc>
        <w:tc>
          <w:tcPr>
            <w:tcW w:w="3064" w:type="dxa"/>
            <w:tcBorders>
              <w:top w:val="single" w:sz="4" w:space="0" w:color="auto"/>
              <w:left w:val="single" w:sz="4" w:space="0" w:color="auto"/>
              <w:bottom w:val="single" w:sz="4" w:space="0" w:color="auto"/>
              <w:right w:val="single" w:sz="4" w:space="0" w:color="auto"/>
            </w:tcBorders>
          </w:tcPr>
          <w:p w:rsidR="007E1CB9" w:rsidRDefault="007E1CB9">
            <w:pPr>
              <w:spacing w:line="360" w:lineRule="auto"/>
              <w:ind w:firstLineChars="450" w:firstLine="1080"/>
              <w:rPr>
                <w:rFonts w:asciiTheme="minorEastAsia" w:hAnsiTheme="minorEastAsia"/>
                <w:sz w:val="24"/>
                <w:szCs w:val="24"/>
              </w:rPr>
            </w:pPr>
            <w:r>
              <w:rPr>
                <w:rFonts w:asciiTheme="minorEastAsia" w:hAnsiTheme="minorEastAsia" w:hint="eastAsia"/>
                <w:sz w:val="24"/>
                <w:szCs w:val="24"/>
              </w:rPr>
              <w:t>收费对象</w:t>
            </w:r>
          </w:p>
        </w:tc>
      </w:tr>
      <w:tr w:rsidR="007E1CB9" w:rsidTr="007E1CB9">
        <w:trPr>
          <w:jc w:val="center"/>
        </w:trPr>
        <w:tc>
          <w:tcPr>
            <w:tcW w:w="2840" w:type="dxa"/>
            <w:tcBorders>
              <w:top w:val="single" w:sz="4" w:space="0" w:color="auto"/>
              <w:left w:val="single" w:sz="4" w:space="0" w:color="auto"/>
              <w:bottom w:val="single" w:sz="4" w:space="0" w:color="auto"/>
              <w:right w:val="single" w:sz="4" w:space="0" w:color="auto"/>
            </w:tcBorders>
          </w:tcPr>
          <w:p w:rsidR="007E1CB9" w:rsidRDefault="007E1CB9">
            <w:pPr>
              <w:spacing w:line="360" w:lineRule="auto"/>
              <w:rPr>
                <w:rFonts w:asciiTheme="minorEastAsia" w:hAnsiTheme="minorEastAsia"/>
                <w:sz w:val="24"/>
                <w:szCs w:val="24"/>
              </w:rPr>
            </w:pPr>
            <w:r>
              <w:rPr>
                <w:rFonts w:asciiTheme="minorEastAsia" w:hAnsiTheme="minorEastAsia" w:hint="eastAsia"/>
                <w:sz w:val="24"/>
                <w:szCs w:val="24"/>
              </w:rPr>
              <w:t>500（含）以下</w:t>
            </w:r>
          </w:p>
        </w:tc>
        <w:tc>
          <w:tcPr>
            <w:tcW w:w="2124" w:type="dxa"/>
            <w:tcBorders>
              <w:top w:val="single" w:sz="4" w:space="0" w:color="auto"/>
              <w:left w:val="single" w:sz="4" w:space="0" w:color="auto"/>
              <w:bottom w:val="single" w:sz="4" w:space="0" w:color="auto"/>
              <w:right w:val="single" w:sz="4" w:space="0" w:color="auto"/>
            </w:tcBorders>
          </w:tcPr>
          <w:p w:rsidR="007E1CB9" w:rsidRDefault="007E1CB9" w:rsidP="007E1CB9">
            <w:pPr>
              <w:spacing w:line="360" w:lineRule="auto"/>
              <w:jc w:val="center"/>
              <w:rPr>
                <w:rFonts w:asciiTheme="minorEastAsia" w:hAnsiTheme="minorEastAsia"/>
                <w:sz w:val="24"/>
                <w:szCs w:val="24"/>
              </w:rPr>
            </w:pPr>
            <w:r>
              <w:rPr>
                <w:rFonts w:asciiTheme="minorEastAsia" w:hAnsiTheme="minorEastAsia" w:hint="eastAsia"/>
                <w:sz w:val="24"/>
                <w:szCs w:val="24"/>
              </w:rPr>
              <w:t>2.5%</w:t>
            </w:r>
          </w:p>
        </w:tc>
        <w:tc>
          <w:tcPr>
            <w:tcW w:w="3064" w:type="dxa"/>
            <w:tcBorders>
              <w:top w:val="single" w:sz="4" w:space="0" w:color="auto"/>
              <w:left w:val="single" w:sz="4" w:space="0" w:color="auto"/>
              <w:bottom w:val="single" w:sz="4" w:space="0" w:color="auto"/>
              <w:right w:val="single" w:sz="4" w:space="0" w:color="auto"/>
            </w:tcBorders>
          </w:tcPr>
          <w:p w:rsidR="007E1CB9" w:rsidRDefault="007E1CB9">
            <w:pPr>
              <w:spacing w:line="360" w:lineRule="auto"/>
              <w:jc w:val="center"/>
              <w:rPr>
                <w:rFonts w:asciiTheme="minorEastAsia" w:hAnsiTheme="minorEastAsia"/>
                <w:sz w:val="24"/>
                <w:szCs w:val="24"/>
              </w:rPr>
            </w:pPr>
            <w:r>
              <w:rPr>
                <w:rFonts w:asciiTheme="minorEastAsia" w:hAnsiTheme="minorEastAsia" w:hint="eastAsia"/>
                <w:sz w:val="24"/>
                <w:szCs w:val="24"/>
              </w:rPr>
              <w:t>受让方、投资方</w:t>
            </w:r>
          </w:p>
        </w:tc>
      </w:tr>
      <w:tr w:rsidR="007E1CB9" w:rsidTr="007E1CB9">
        <w:trPr>
          <w:jc w:val="center"/>
        </w:trPr>
        <w:tc>
          <w:tcPr>
            <w:tcW w:w="2840" w:type="dxa"/>
            <w:tcBorders>
              <w:top w:val="single" w:sz="4" w:space="0" w:color="auto"/>
              <w:left w:val="single" w:sz="4" w:space="0" w:color="auto"/>
              <w:bottom w:val="single" w:sz="4" w:space="0" w:color="auto"/>
              <w:right w:val="single" w:sz="4" w:space="0" w:color="auto"/>
            </w:tcBorders>
          </w:tcPr>
          <w:p w:rsidR="007E1CB9" w:rsidRDefault="007E1CB9">
            <w:pPr>
              <w:spacing w:line="360" w:lineRule="auto"/>
              <w:rPr>
                <w:rFonts w:asciiTheme="minorEastAsia" w:hAnsiTheme="minorEastAsia"/>
                <w:sz w:val="24"/>
                <w:szCs w:val="24"/>
              </w:rPr>
            </w:pPr>
            <w:r>
              <w:rPr>
                <w:rFonts w:asciiTheme="minorEastAsia" w:hAnsiTheme="minorEastAsia" w:hint="eastAsia"/>
                <w:sz w:val="24"/>
                <w:szCs w:val="24"/>
              </w:rPr>
              <w:t>500——1000（含）</w:t>
            </w:r>
          </w:p>
        </w:tc>
        <w:tc>
          <w:tcPr>
            <w:tcW w:w="2124" w:type="dxa"/>
            <w:tcBorders>
              <w:top w:val="single" w:sz="4" w:space="0" w:color="auto"/>
              <w:left w:val="single" w:sz="4" w:space="0" w:color="auto"/>
              <w:bottom w:val="single" w:sz="4" w:space="0" w:color="auto"/>
              <w:right w:val="single" w:sz="4" w:space="0" w:color="auto"/>
            </w:tcBorders>
          </w:tcPr>
          <w:p w:rsidR="007E1CB9" w:rsidRDefault="007E1CB9" w:rsidP="007E1CB9">
            <w:pPr>
              <w:spacing w:line="360" w:lineRule="auto"/>
              <w:jc w:val="center"/>
              <w:rPr>
                <w:rFonts w:asciiTheme="minorEastAsia" w:hAnsiTheme="minorEastAsia"/>
                <w:sz w:val="24"/>
                <w:szCs w:val="24"/>
              </w:rPr>
            </w:pPr>
            <w:r>
              <w:rPr>
                <w:rFonts w:asciiTheme="minorEastAsia" w:hAnsiTheme="minorEastAsia" w:hint="eastAsia"/>
                <w:sz w:val="24"/>
                <w:szCs w:val="24"/>
              </w:rPr>
              <w:t>2.0%</w:t>
            </w:r>
          </w:p>
        </w:tc>
        <w:tc>
          <w:tcPr>
            <w:tcW w:w="3064" w:type="dxa"/>
            <w:tcBorders>
              <w:top w:val="single" w:sz="4" w:space="0" w:color="auto"/>
              <w:left w:val="single" w:sz="4" w:space="0" w:color="auto"/>
              <w:bottom w:val="single" w:sz="4" w:space="0" w:color="auto"/>
              <w:right w:val="single" w:sz="4" w:space="0" w:color="auto"/>
            </w:tcBorders>
          </w:tcPr>
          <w:p w:rsidR="007E1CB9" w:rsidRDefault="007E1CB9">
            <w:pPr>
              <w:spacing w:line="360" w:lineRule="auto"/>
              <w:jc w:val="center"/>
              <w:rPr>
                <w:rFonts w:asciiTheme="minorEastAsia" w:hAnsiTheme="minorEastAsia"/>
                <w:sz w:val="24"/>
                <w:szCs w:val="24"/>
              </w:rPr>
            </w:pPr>
            <w:r>
              <w:rPr>
                <w:rFonts w:asciiTheme="minorEastAsia" w:hAnsiTheme="minorEastAsia" w:hint="eastAsia"/>
                <w:sz w:val="24"/>
                <w:szCs w:val="24"/>
              </w:rPr>
              <w:t>受让方、投资方</w:t>
            </w:r>
          </w:p>
        </w:tc>
      </w:tr>
      <w:tr w:rsidR="007E1CB9" w:rsidTr="007E1CB9">
        <w:trPr>
          <w:jc w:val="center"/>
        </w:trPr>
        <w:tc>
          <w:tcPr>
            <w:tcW w:w="2840" w:type="dxa"/>
            <w:tcBorders>
              <w:top w:val="single" w:sz="4" w:space="0" w:color="auto"/>
              <w:left w:val="single" w:sz="4" w:space="0" w:color="auto"/>
              <w:bottom w:val="single" w:sz="4" w:space="0" w:color="auto"/>
              <w:right w:val="single" w:sz="4" w:space="0" w:color="auto"/>
            </w:tcBorders>
          </w:tcPr>
          <w:p w:rsidR="007E1CB9" w:rsidRDefault="007E1CB9">
            <w:pPr>
              <w:spacing w:line="360" w:lineRule="auto"/>
              <w:rPr>
                <w:rFonts w:asciiTheme="minorEastAsia" w:hAnsiTheme="minorEastAsia"/>
                <w:sz w:val="24"/>
                <w:szCs w:val="24"/>
              </w:rPr>
            </w:pPr>
            <w:r>
              <w:rPr>
                <w:rFonts w:asciiTheme="minorEastAsia" w:hAnsiTheme="minorEastAsia" w:hint="eastAsia"/>
                <w:sz w:val="24"/>
                <w:szCs w:val="24"/>
              </w:rPr>
              <w:t>1000——5000（含）</w:t>
            </w:r>
          </w:p>
        </w:tc>
        <w:tc>
          <w:tcPr>
            <w:tcW w:w="2124" w:type="dxa"/>
            <w:tcBorders>
              <w:top w:val="single" w:sz="4" w:space="0" w:color="auto"/>
              <w:left w:val="single" w:sz="4" w:space="0" w:color="auto"/>
              <w:bottom w:val="single" w:sz="4" w:space="0" w:color="auto"/>
              <w:right w:val="single" w:sz="4" w:space="0" w:color="auto"/>
            </w:tcBorders>
          </w:tcPr>
          <w:p w:rsidR="007E1CB9" w:rsidRDefault="007E1CB9" w:rsidP="007E1CB9">
            <w:pPr>
              <w:spacing w:line="360" w:lineRule="auto"/>
              <w:jc w:val="center"/>
              <w:rPr>
                <w:rFonts w:asciiTheme="minorEastAsia" w:hAnsiTheme="minorEastAsia"/>
                <w:sz w:val="24"/>
                <w:szCs w:val="24"/>
              </w:rPr>
            </w:pPr>
            <w:r>
              <w:rPr>
                <w:rFonts w:asciiTheme="minorEastAsia" w:hAnsiTheme="minorEastAsia" w:hint="eastAsia"/>
                <w:sz w:val="24"/>
                <w:szCs w:val="24"/>
              </w:rPr>
              <w:t>1.5%</w:t>
            </w:r>
          </w:p>
        </w:tc>
        <w:tc>
          <w:tcPr>
            <w:tcW w:w="3064" w:type="dxa"/>
            <w:tcBorders>
              <w:top w:val="single" w:sz="4" w:space="0" w:color="auto"/>
              <w:left w:val="single" w:sz="4" w:space="0" w:color="auto"/>
              <w:bottom w:val="single" w:sz="4" w:space="0" w:color="auto"/>
              <w:right w:val="single" w:sz="4" w:space="0" w:color="auto"/>
            </w:tcBorders>
          </w:tcPr>
          <w:p w:rsidR="007E1CB9" w:rsidRDefault="007E1CB9">
            <w:pPr>
              <w:spacing w:line="360" w:lineRule="auto"/>
              <w:jc w:val="center"/>
              <w:rPr>
                <w:rFonts w:asciiTheme="minorEastAsia" w:hAnsiTheme="minorEastAsia"/>
                <w:sz w:val="24"/>
                <w:szCs w:val="24"/>
              </w:rPr>
            </w:pPr>
            <w:r>
              <w:rPr>
                <w:rFonts w:asciiTheme="minorEastAsia" w:hAnsiTheme="minorEastAsia" w:hint="eastAsia"/>
                <w:sz w:val="24"/>
                <w:szCs w:val="24"/>
              </w:rPr>
              <w:t>受让方、投资方</w:t>
            </w:r>
          </w:p>
        </w:tc>
      </w:tr>
      <w:tr w:rsidR="007E1CB9" w:rsidTr="007E1CB9">
        <w:trPr>
          <w:jc w:val="center"/>
        </w:trPr>
        <w:tc>
          <w:tcPr>
            <w:tcW w:w="2840" w:type="dxa"/>
            <w:tcBorders>
              <w:top w:val="single" w:sz="4" w:space="0" w:color="auto"/>
              <w:left w:val="single" w:sz="4" w:space="0" w:color="auto"/>
              <w:bottom w:val="single" w:sz="4" w:space="0" w:color="auto"/>
              <w:right w:val="single" w:sz="4" w:space="0" w:color="auto"/>
            </w:tcBorders>
          </w:tcPr>
          <w:p w:rsidR="007E1CB9" w:rsidRDefault="007E1CB9">
            <w:pPr>
              <w:spacing w:line="360" w:lineRule="auto"/>
              <w:rPr>
                <w:rFonts w:asciiTheme="minorEastAsia" w:hAnsiTheme="minorEastAsia"/>
                <w:sz w:val="24"/>
                <w:szCs w:val="24"/>
              </w:rPr>
            </w:pPr>
            <w:r>
              <w:rPr>
                <w:rFonts w:asciiTheme="minorEastAsia" w:hAnsiTheme="minorEastAsia" w:hint="eastAsia"/>
                <w:sz w:val="24"/>
                <w:szCs w:val="24"/>
              </w:rPr>
              <w:t>5000——10000（含）</w:t>
            </w:r>
          </w:p>
        </w:tc>
        <w:tc>
          <w:tcPr>
            <w:tcW w:w="2124" w:type="dxa"/>
            <w:tcBorders>
              <w:top w:val="single" w:sz="4" w:space="0" w:color="auto"/>
              <w:left w:val="single" w:sz="4" w:space="0" w:color="auto"/>
              <w:bottom w:val="single" w:sz="4" w:space="0" w:color="auto"/>
              <w:right w:val="single" w:sz="4" w:space="0" w:color="auto"/>
            </w:tcBorders>
          </w:tcPr>
          <w:p w:rsidR="007E1CB9" w:rsidRDefault="007E1CB9" w:rsidP="007E1CB9">
            <w:pPr>
              <w:spacing w:line="360" w:lineRule="auto"/>
              <w:jc w:val="center"/>
              <w:rPr>
                <w:rFonts w:asciiTheme="minorEastAsia" w:hAnsiTheme="minorEastAsia"/>
                <w:sz w:val="24"/>
                <w:szCs w:val="24"/>
              </w:rPr>
            </w:pPr>
            <w:r>
              <w:rPr>
                <w:rFonts w:asciiTheme="minorEastAsia" w:hAnsiTheme="minorEastAsia" w:hint="eastAsia"/>
                <w:sz w:val="24"/>
                <w:szCs w:val="24"/>
              </w:rPr>
              <w:t>0.8%</w:t>
            </w:r>
          </w:p>
        </w:tc>
        <w:tc>
          <w:tcPr>
            <w:tcW w:w="3064" w:type="dxa"/>
            <w:tcBorders>
              <w:top w:val="single" w:sz="4" w:space="0" w:color="auto"/>
              <w:left w:val="single" w:sz="4" w:space="0" w:color="auto"/>
              <w:bottom w:val="single" w:sz="4" w:space="0" w:color="auto"/>
              <w:right w:val="single" w:sz="4" w:space="0" w:color="auto"/>
            </w:tcBorders>
          </w:tcPr>
          <w:p w:rsidR="007E1CB9" w:rsidRDefault="007E1CB9">
            <w:pPr>
              <w:spacing w:line="360" w:lineRule="auto"/>
              <w:jc w:val="center"/>
              <w:rPr>
                <w:rFonts w:asciiTheme="minorEastAsia" w:hAnsiTheme="minorEastAsia"/>
                <w:sz w:val="24"/>
                <w:szCs w:val="24"/>
              </w:rPr>
            </w:pPr>
            <w:r>
              <w:rPr>
                <w:rFonts w:asciiTheme="minorEastAsia" w:hAnsiTheme="minorEastAsia" w:hint="eastAsia"/>
                <w:sz w:val="24"/>
                <w:szCs w:val="24"/>
              </w:rPr>
              <w:t>受让方、投资方</w:t>
            </w:r>
          </w:p>
        </w:tc>
      </w:tr>
      <w:tr w:rsidR="007E1CB9" w:rsidTr="007E1CB9">
        <w:trPr>
          <w:jc w:val="center"/>
        </w:trPr>
        <w:tc>
          <w:tcPr>
            <w:tcW w:w="2840" w:type="dxa"/>
            <w:tcBorders>
              <w:top w:val="single" w:sz="4" w:space="0" w:color="auto"/>
              <w:left w:val="single" w:sz="4" w:space="0" w:color="auto"/>
              <w:bottom w:val="single" w:sz="4" w:space="0" w:color="auto"/>
              <w:right w:val="single" w:sz="4" w:space="0" w:color="auto"/>
            </w:tcBorders>
          </w:tcPr>
          <w:p w:rsidR="007E1CB9" w:rsidRDefault="007E1CB9">
            <w:pPr>
              <w:spacing w:line="360" w:lineRule="auto"/>
              <w:rPr>
                <w:rFonts w:asciiTheme="minorEastAsia" w:hAnsiTheme="minorEastAsia"/>
                <w:sz w:val="24"/>
                <w:szCs w:val="24"/>
              </w:rPr>
            </w:pPr>
            <w:r>
              <w:rPr>
                <w:rFonts w:asciiTheme="minorEastAsia" w:hAnsiTheme="minorEastAsia" w:hint="eastAsia"/>
                <w:sz w:val="24"/>
                <w:szCs w:val="24"/>
              </w:rPr>
              <w:lastRenderedPageBreak/>
              <w:t>10000以上</w:t>
            </w:r>
          </w:p>
        </w:tc>
        <w:tc>
          <w:tcPr>
            <w:tcW w:w="2124" w:type="dxa"/>
            <w:tcBorders>
              <w:top w:val="single" w:sz="4" w:space="0" w:color="auto"/>
              <w:left w:val="single" w:sz="4" w:space="0" w:color="auto"/>
              <w:bottom w:val="single" w:sz="4" w:space="0" w:color="auto"/>
              <w:right w:val="single" w:sz="4" w:space="0" w:color="auto"/>
            </w:tcBorders>
          </w:tcPr>
          <w:p w:rsidR="007E1CB9" w:rsidRDefault="007E1CB9" w:rsidP="007E1CB9">
            <w:pPr>
              <w:spacing w:line="360" w:lineRule="auto"/>
              <w:jc w:val="center"/>
              <w:rPr>
                <w:rFonts w:asciiTheme="minorEastAsia" w:hAnsiTheme="minorEastAsia"/>
                <w:sz w:val="24"/>
                <w:szCs w:val="24"/>
              </w:rPr>
            </w:pPr>
            <w:r>
              <w:rPr>
                <w:rFonts w:asciiTheme="minorEastAsia" w:hAnsiTheme="minorEastAsia" w:hint="eastAsia"/>
                <w:sz w:val="24"/>
                <w:szCs w:val="24"/>
              </w:rPr>
              <w:t>0.5%</w:t>
            </w:r>
          </w:p>
        </w:tc>
        <w:tc>
          <w:tcPr>
            <w:tcW w:w="3064" w:type="dxa"/>
            <w:tcBorders>
              <w:top w:val="single" w:sz="4" w:space="0" w:color="auto"/>
              <w:left w:val="single" w:sz="4" w:space="0" w:color="auto"/>
              <w:bottom w:val="single" w:sz="4" w:space="0" w:color="auto"/>
              <w:right w:val="single" w:sz="4" w:space="0" w:color="auto"/>
            </w:tcBorders>
          </w:tcPr>
          <w:p w:rsidR="007E1CB9" w:rsidRDefault="007E1CB9">
            <w:pPr>
              <w:spacing w:line="360" w:lineRule="auto"/>
              <w:jc w:val="center"/>
              <w:rPr>
                <w:rFonts w:asciiTheme="minorEastAsia" w:hAnsiTheme="minorEastAsia"/>
                <w:sz w:val="24"/>
                <w:szCs w:val="24"/>
              </w:rPr>
            </w:pPr>
            <w:r>
              <w:rPr>
                <w:rFonts w:asciiTheme="minorEastAsia" w:hAnsiTheme="minorEastAsia" w:hint="eastAsia"/>
                <w:sz w:val="24"/>
                <w:szCs w:val="24"/>
              </w:rPr>
              <w:t>受让方、投资方</w:t>
            </w:r>
          </w:p>
        </w:tc>
      </w:tr>
    </w:tbl>
    <w:p w:rsidR="00B07CD7" w:rsidRDefault="002C15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注</w:t>
      </w:r>
      <w:r>
        <w:rPr>
          <w:rFonts w:asciiTheme="minorEastAsia" w:hAnsiTheme="minorEastAsia" w:hint="eastAsia"/>
          <w:sz w:val="24"/>
          <w:szCs w:val="24"/>
        </w:rPr>
        <w:t xml:space="preserve">: </w:t>
      </w:r>
      <w:r>
        <w:rPr>
          <w:rFonts w:asciiTheme="minorEastAsia" w:hAnsiTheme="minorEastAsia" w:hint="eastAsia"/>
          <w:sz w:val="24"/>
          <w:szCs w:val="24"/>
        </w:rPr>
        <w:t>采取公开拍卖等方式的项目，按本须知规定的产（股）权交易服务收费标准向本所交纳服务费（以成交价计算）外，拍卖佣金由承担拍卖事务的拍卖中介另行收取。</w:t>
      </w:r>
    </w:p>
    <w:p w:rsidR="00B07CD7" w:rsidRDefault="002C15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三、其他</w:t>
      </w:r>
    </w:p>
    <w:p w:rsidR="00B07CD7" w:rsidRDefault="002C1598">
      <w:pPr>
        <w:spacing w:line="360" w:lineRule="auto"/>
        <w:ind w:firstLine="480"/>
        <w:rPr>
          <w:rFonts w:asciiTheme="minorEastAsia" w:hAnsiTheme="minorEastAsia"/>
          <w:sz w:val="24"/>
          <w:szCs w:val="24"/>
        </w:rPr>
      </w:pPr>
      <w:r>
        <w:rPr>
          <w:rFonts w:asciiTheme="minorEastAsia" w:hAnsiTheme="minorEastAsia" w:hint="eastAsia"/>
          <w:sz w:val="24"/>
          <w:szCs w:val="24"/>
        </w:rPr>
        <w:t>如意向受让方对</w:t>
      </w:r>
      <w:r>
        <w:rPr>
          <w:rFonts w:asciiTheme="minorEastAsia" w:hAnsiTheme="minorEastAsia"/>
          <w:sz w:val="24"/>
          <w:szCs w:val="24"/>
        </w:rPr>
        <w:t>上述</w:t>
      </w:r>
      <w:r>
        <w:rPr>
          <w:rFonts w:asciiTheme="minorEastAsia" w:hAnsiTheme="minorEastAsia" w:hint="eastAsia"/>
          <w:sz w:val="24"/>
          <w:szCs w:val="24"/>
        </w:rPr>
        <w:t>须知有任何不明或异议，应事先以书面形式向本所提出并要求做出解释和澄清。</w:t>
      </w:r>
    </w:p>
    <w:p w:rsidR="00B07CD7" w:rsidRDefault="002C15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确定受让方后，若因交易一方或双方不按规定签订资产交易合同的，本所可以按照应收取资产处置服务费及公开遴选服务费的</w:t>
      </w:r>
      <w:r>
        <w:rPr>
          <w:rFonts w:asciiTheme="minorEastAsia" w:hAnsiTheme="minorEastAsia" w:hint="eastAsia"/>
          <w:sz w:val="24"/>
          <w:szCs w:val="24"/>
        </w:rPr>
        <w:t>50%</w:t>
      </w:r>
      <w:r>
        <w:rPr>
          <w:rFonts w:asciiTheme="minorEastAsia" w:hAnsiTheme="minorEastAsia" w:hint="eastAsia"/>
          <w:sz w:val="24"/>
          <w:szCs w:val="24"/>
        </w:rPr>
        <w:t>，向拒签方收取交易服务费用。双方签订资产交易合同又解除的，本所有权收取资产处置服务费及公开遴选服务费，受损一方可通过司法程序向违约方进行追偿。</w:t>
      </w:r>
    </w:p>
    <w:p w:rsidR="00B07CD7" w:rsidRDefault="002C15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注：上文中所提及部分名词定义：</w:t>
      </w:r>
    </w:p>
    <w:p w:rsidR="00B07CD7" w:rsidRDefault="002C1598">
      <w:pPr>
        <w:spacing w:line="360" w:lineRule="auto"/>
        <w:ind w:firstLineChars="150" w:firstLine="360"/>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本所</w:t>
      </w:r>
      <w:r>
        <w:rPr>
          <w:rFonts w:asciiTheme="minorEastAsia" w:hAnsiTheme="minorEastAsia"/>
          <w:sz w:val="24"/>
          <w:szCs w:val="24"/>
        </w:rPr>
        <w:t>”</w:t>
      </w:r>
      <w:r>
        <w:rPr>
          <w:rFonts w:asciiTheme="minorEastAsia" w:hAnsiTheme="minorEastAsia" w:hint="eastAsia"/>
          <w:sz w:val="24"/>
          <w:szCs w:val="24"/>
        </w:rPr>
        <w:t>：系指贵州阳光产权交易所有限公司。</w:t>
      </w:r>
    </w:p>
    <w:p w:rsidR="00B07CD7" w:rsidRDefault="002C1598">
      <w:pPr>
        <w:spacing w:line="360" w:lineRule="auto"/>
        <w:ind w:firstLineChars="150" w:firstLine="360"/>
        <w:rPr>
          <w:rFonts w:asciiTheme="minorEastAsia" w:hAnsiTheme="minorEastAsia"/>
          <w:sz w:val="24"/>
          <w:szCs w:val="24"/>
        </w:rPr>
      </w:pPr>
      <w:r>
        <w:rPr>
          <w:rFonts w:asciiTheme="minorEastAsia" w:hAnsiTheme="minorEastAsia" w:hint="eastAsia"/>
          <w:sz w:val="24"/>
          <w:szCs w:val="24"/>
        </w:rPr>
        <w:t>“意向受让方”</w:t>
      </w:r>
      <w:r>
        <w:rPr>
          <w:rFonts w:asciiTheme="minorEastAsia" w:hAnsiTheme="minorEastAsia" w:hint="eastAsia"/>
          <w:sz w:val="24"/>
          <w:szCs w:val="24"/>
        </w:rPr>
        <w:t xml:space="preserve"> </w:t>
      </w:r>
      <w:r>
        <w:rPr>
          <w:rFonts w:asciiTheme="minorEastAsia" w:hAnsiTheme="minorEastAsia" w:hint="eastAsia"/>
          <w:sz w:val="24"/>
          <w:szCs w:val="24"/>
        </w:rPr>
        <w:t>：系指在贵州阳光产权交易所有限公司正式办理求购登记并按标的信息披露公告要求提交相关资料并足额交纳保证金的企业法人、自然人或其他组织。</w:t>
      </w:r>
    </w:p>
    <w:p w:rsidR="00B07CD7" w:rsidRDefault="002C1598">
      <w:pPr>
        <w:spacing w:line="360" w:lineRule="auto"/>
        <w:ind w:firstLineChars="150" w:firstLine="360"/>
        <w:rPr>
          <w:rFonts w:asciiTheme="minorEastAsia" w:hAnsiTheme="minorEastAsia"/>
          <w:sz w:val="24"/>
          <w:szCs w:val="24"/>
        </w:rPr>
      </w:pPr>
      <w:r>
        <w:rPr>
          <w:rFonts w:asciiTheme="minorEastAsia" w:hAnsiTheme="minorEastAsia" w:hint="eastAsia"/>
          <w:sz w:val="24"/>
          <w:szCs w:val="24"/>
        </w:rPr>
        <w:t>“受让方”</w:t>
      </w:r>
      <w:r>
        <w:rPr>
          <w:rFonts w:asciiTheme="minorEastAsia" w:hAnsiTheme="minorEastAsia" w:hint="eastAsia"/>
          <w:sz w:val="24"/>
          <w:szCs w:val="24"/>
        </w:rPr>
        <w:t xml:space="preserve"> </w:t>
      </w:r>
      <w:r>
        <w:rPr>
          <w:rFonts w:asciiTheme="minorEastAsia" w:hAnsiTheme="minorEastAsia" w:hint="eastAsia"/>
          <w:sz w:val="24"/>
          <w:szCs w:val="24"/>
        </w:rPr>
        <w:t>：系指标的项目的最终买受人。</w:t>
      </w:r>
    </w:p>
    <w:p w:rsidR="00B07CD7" w:rsidRDefault="002C1598">
      <w:pPr>
        <w:spacing w:line="360" w:lineRule="auto"/>
        <w:ind w:firstLineChars="200" w:firstLine="480"/>
        <w:rPr>
          <w:rFonts w:asciiTheme="minorEastAsia" w:hAnsiTheme="minorEastAsia"/>
          <w:sz w:val="24"/>
          <w:szCs w:val="24"/>
        </w:rPr>
      </w:pPr>
      <w:r>
        <w:rPr>
          <w:rFonts w:asciiTheme="minorEastAsia" w:hAnsiTheme="minorEastAsia"/>
          <w:sz w:val="24"/>
          <w:szCs w:val="24"/>
        </w:rPr>
        <w:t>如果</w:t>
      </w:r>
      <w:r>
        <w:rPr>
          <w:rFonts w:asciiTheme="minorEastAsia" w:hAnsiTheme="minorEastAsia" w:hint="eastAsia"/>
          <w:sz w:val="24"/>
          <w:szCs w:val="24"/>
        </w:rPr>
        <w:t>意向受让方</w:t>
      </w:r>
      <w:r>
        <w:rPr>
          <w:rFonts w:asciiTheme="minorEastAsia" w:hAnsiTheme="minorEastAsia"/>
          <w:sz w:val="24"/>
          <w:szCs w:val="24"/>
        </w:rPr>
        <w:t>对上述</w:t>
      </w:r>
      <w:r>
        <w:rPr>
          <w:rFonts w:asciiTheme="minorEastAsia" w:hAnsiTheme="minorEastAsia" w:hint="eastAsia"/>
          <w:sz w:val="24"/>
          <w:szCs w:val="24"/>
        </w:rPr>
        <w:t>须知</w:t>
      </w:r>
      <w:r>
        <w:rPr>
          <w:rFonts w:asciiTheme="minorEastAsia" w:hAnsiTheme="minorEastAsia"/>
          <w:sz w:val="24"/>
          <w:szCs w:val="24"/>
        </w:rPr>
        <w:t>已完全了解</w:t>
      </w:r>
      <w:r>
        <w:rPr>
          <w:rFonts w:asciiTheme="minorEastAsia" w:hAnsiTheme="minorEastAsia"/>
          <w:sz w:val="24"/>
          <w:szCs w:val="24"/>
        </w:rPr>
        <w:t>,</w:t>
      </w:r>
      <w:r>
        <w:rPr>
          <w:rFonts w:asciiTheme="minorEastAsia" w:hAnsiTheme="minorEastAsia" w:hint="eastAsia"/>
          <w:sz w:val="24"/>
          <w:szCs w:val="24"/>
        </w:rPr>
        <w:t>同意遵守本须知的，请盖章或</w:t>
      </w:r>
      <w:r>
        <w:rPr>
          <w:rFonts w:asciiTheme="minorEastAsia" w:hAnsiTheme="minorEastAsia"/>
          <w:sz w:val="24"/>
          <w:szCs w:val="24"/>
        </w:rPr>
        <w:t>签字确认。</w:t>
      </w:r>
    </w:p>
    <w:p w:rsidR="00B07CD7" w:rsidRDefault="002C159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本须知一式两联，贵州阳光产权交易所有限公司和意向受让方各持一联。</w:t>
      </w:r>
    </w:p>
    <w:p w:rsidR="00B07CD7" w:rsidRDefault="00B07CD7">
      <w:pPr>
        <w:spacing w:line="360" w:lineRule="auto"/>
        <w:rPr>
          <w:rFonts w:asciiTheme="minorEastAsia" w:hAnsiTheme="minorEastAsia"/>
          <w:sz w:val="24"/>
          <w:szCs w:val="24"/>
        </w:rPr>
      </w:pPr>
    </w:p>
    <w:p w:rsidR="00B07CD7" w:rsidRDefault="00B07CD7">
      <w:pPr>
        <w:spacing w:line="360" w:lineRule="auto"/>
        <w:ind w:right="480"/>
        <w:rPr>
          <w:rFonts w:asciiTheme="minorEastAsia" w:hAnsiTheme="minorEastAsia"/>
          <w:sz w:val="24"/>
          <w:szCs w:val="24"/>
        </w:rPr>
      </w:pPr>
    </w:p>
    <w:p w:rsidR="00B07CD7" w:rsidRDefault="00B07CD7">
      <w:pPr>
        <w:spacing w:line="360" w:lineRule="auto"/>
        <w:ind w:right="480"/>
        <w:rPr>
          <w:rFonts w:asciiTheme="minorEastAsia" w:hAnsiTheme="minorEastAsia"/>
          <w:sz w:val="24"/>
          <w:szCs w:val="24"/>
        </w:rPr>
      </w:pPr>
    </w:p>
    <w:p w:rsidR="00B07CD7" w:rsidRDefault="00B07CD7">
      <w:pPr>
        <w:spacing w:line="360" w:lineRule="auto"/>
        <w:ind w:right="480"/>
        <w:rPr>
          <w:rFonts w:asciiTheme="minorEastAsia" w:hAnsiTheme="minorEastAsia"/>
          <w:sz w:val="24"/>
          <w:szCs w:val="24"/>
        </w:rPr>
      </w:pPr>
    </w:p>
    <w:p w:rsidR="00B07CD7" w:rsidRDefault="002C1598">
      <w:pPr>
        <w:spacing w:line="360" w:lineRule="auto"/>
        <w:ind w:left="3780" w:right="480" w:hangingChars="1575" w:hanging="3780"/>
        <w:rPr>
          <w:rFonts w:asciiTheme="minorEastAsia" w:hAnsiTheme="minorEastAsia"/>
          <w:sz w:val="24"/>
          <w:szCs w:val="24"/>
        </w:rPr>
      </w:pPr>
      <w:r>
        <w:rPr>
          <w:rFonts w:asciiTheme="minorEastAsia" w:hAnsiTheme="minorEastAsia" w:hint="eastAsia"/>
          <w:sz w:val="24"/>
          <w:szCs w:val="24"/>
        </w:rPr>
        <w:t>意向受让方（签字或盖章）：</w:t>
      </w:r>
    </w:p>
    <w:p w:rsidR="00B07CD7" w:rsidRDefault="002C1598">
      <w:pPr>
        <w:spacing w:line="360" w:lineRule="auto"/>
        <w:ind w:left="3780" w:right="480" w:hangingChars="1575" w:hanging="3780"/>
        <w:rPr>
          <w:rFonts w:asciiTheme="minorEastAsia" w:hAnsiTheme="minorEastAsia"/>
          <w:sz w:val="24"/>
          <w:szCs w:val="24"/>
        </w:rPr>
      </w:pPr>
      <w:r>
        <w:rPr>
          <w:rFonts w:asciiTheme="minorEastAsia" w:hAnsiTheme="minorEastAsia" w:hint="eastAsia"/>
          <w:sz w:val="24"/>
          <w:szCs w:val="24"/>
        </w:rPr>
        <w:t xml:space="preserve"> </w:t>
      </w:r>
    </w:p>
    <w:p w:rsidR="00B07CD7" w:rsidRDefault="00B07CD7">
      <w:pPr>
        <w:spacing w:line="360" w:lineRule="auto"/>
        <w:ind w:left="3780" w:right="480" w:hangingChars="1575" w:hanging="3780"/>
        <w:rPr>
          <w:rFonts w:asciiTheme="minorEastAsia" w:hAnsiTheme="minorEastAsia"/>
          <w:sz w:val="24"/>
          <w:szCs w:val="24"/>
        </w:rPr>
      </w:pPr>
    </w:p>
    <w:p w:rsidR="00B07CD7" w:rsidRDefault="00B07CD7">
      <w:pPr>
        <w:spacing w:line="360" w:lineRule="auto"/>
        <w:ind w:left="3780" w:right="480" w:hangingChars="1575" w:hanging="3780"/>
        <w:rPr>
          <w:rFonts w:asciiTheme="minorEastAsia" w:hAnsiTheme="minorEastAsia"/>
          <w:sz w:val="24"/>
          <w:szCs w:val="24"/>
        </w:rPr>
      </w:pPr>
    </w:p>
    <w:p w:rsidR="00B07CD7" w:rsidRPr="007E1CB9" w:rsidRDefault="002C1598" w:rsidP="007E1CB9">
      <w:pPr>
        <w:spacing w:line="360" w:lineRule="auto"/>
        <w:ind w:left="3780" w:right="480" w:hangingChars="1575" w:hanging="3780"/>
        <w:rPr>
          <w:rFonts w:asciiTheme="minorEastAsia" w:hAnsiTheme="minorEastAsia" w:hint="eastAsia"/>
          <w:sz w:val="24"/>
          <w:szCs w:val="24"/>
        </w:rPr>
      </w:pPr>
      <w:r>
        <w:rPr>
          <w:rFonts w:asciiTheme="minorEastAsia" w:hAnsiTheme="minorEastAsia" w:hint="eastAsia"/>
          <w:sz w:val="24"/>
          <w:szCs w:val="24"/>
        </w:rPr>
        <w:t>委托代理人（签字或盖章）：</w:t>
      </w:r>
      <w:bookmarkStart w:id="0" w:name="_GoBack"/>
      <w:bookmarkEnd w:id="0"/>
    </w:p>
    <w:sectPr w:rsidR="00B07CD7" w:rsidRPr="007E1CB9" w:rsidSect="00FA27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BE0"/>
    <w:rsid w:val="00017409"/>
    <w:rsid w:val="0005274D"/>
    <w:rsid w:val="00067849"/>
    <w:rsid w:val="000B1E7E"/>
    <w:rsid w:val="00102BE0"/>
    <w:rsid w:val="00117950"/>
    <w:rsid w:val="00132D80"/>
    <w:rsid w:val="00162202"/>
    <w:rsid w:val="00192728"/>
    <w:rsid w:val="00257E41"/>
    <w:rsid w:val="002657E4"/>
    <w:rsid w:val="00271BB2"/>
    <w:rsid w:val="002B2657"/>
    <w:rsid w:val="002C1598"/>
    <w:rsid w:val="00313895"/>
    <w:rsid w:val="00365F1E"/>
    <w:rsid w:val="00367B90"/>
    <w:rsid w:val="003B0076"/>
    <w:rsid w:val="00485432"/>
    <w:rsid w:val="00592451"/>
    <w:rsid w:val="005A6F80"/>
    <w:rsid w:val="005B606F"/>
    <w:rsid w:val="006059A0"/>
    <w:rsid w:val="006109E7"/>
    <w:rsid w:val="006D4061"/>
    <w:rsid w:val="007113E7"/>
    <w:rsid w:val="007301CB"/>
    <w:rsid w:val="00740BF5"/>
    <w:rsid w:val="007D5FEB"/>
    <w:rsid w:val="007E1CB9"/>
    <w:rsid w:val="007F2FFA"/>
    <w:rsid w:val="007F451A"/>
    <w:rsid w:val="00843DA3"/>
    <w:rsid w:val="0090674D"/>
    <w:rsid w:val="00952DC9"/>
    <w:rsid w:val="009C6EE3"/>
    <w:rsid w:val="009F02C1"/>
    <w:rsid w:val="00AD5870"/>
    <w:rsid w:val="00B07CD7"/>
    <w:rsid w:val="00B940E2"/>
    <w:rsid w:val="00BF1C30"/>
    <w:rsid w:val="00C17EA3"/>
    <w:rsid w:val="00C44CA6"/>
    <w:rsid w:val="00CC5309"/>
    <w:rsid w:val="00CC7228"/>
    <w:rsid w:val="00CE28F6"/>
    <w:rsid w:val="00D039C6"/>
    <w:rsid w:val="00D14A08"/>
    <w:rsid w:val="00D609F3"/>
    <w:rsid w:val="00DB08B4"/>
    <w:rsid w:val="00DB5CE3"/>
    <w:rsid w:val="00E8228C"/>
    <w:rsid w:val="00FA279B"/>
    <w:rsid w:val="00FE0D30"/>
    <w:rsid w:val="28835A5C"/>
    <w:rsid w:val="28F05937"/>
    <w:rsid w:val="32544310"/>
    <w:rsid w:val="3CF50F70"/>
    <w:rsid w:val="42EE5965"/>
    <w:rsid w:val="4B024DD6"/>
    <w:rsid w:val="5C071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165562-B7A0-4D11-AE88-FC396076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uiPriority w:val="99"/>
    <w:semiHidden/>
    <w:qFormat/>
    <w:rPr>
      <w:sz w:val="18"/>
      <w:szCs w:val="18"/>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AC1557-2FBD-4A7F-8D03-91F38810A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1107</Characters>
  <Application>Microsoft Office Word</Application>
  <DocSecurity>0</DocSecurity>
  <Lines>9</Lines>
  <Paragraphs>2</Paragraphs>
  <ScaleCrop>false</ScaleCrop>
  <Company>微软中国</Company>
  <LinksUpToDate>false</LinksUpToDate>
  <CharactersWithSpaces>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何潇</dc:creator>
  <cp:lastModifiedBy>admin</cp:lastModifiedBy>
  <cp:revision>2</cp:revision>
  <cp:lastPrinted>2019-08-13T04:06:00Z</cp:lastPrinted>
  <dcterms:created xsi:type="dcterms:W3CDTF">2021-09-01T02:21:00Z</dcterms:created>
  <dcterms:modified xsi:type="dcterms:W3CDTF">2021-09-01T02:21:00Z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1EAA8F7D0AD34C17AFA43EA99FE778CB</vt:lpwstr>
  </property>
</Properties>
</file>