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b/>
          <w:color w:val="auto"/>
          <w:sz w:val="32"/>
          <w:szCs w:val="32"/>
        </w:rPr>
      </w:pPr>
      <w:r>
        <w:rPr>
          <w:rFonts w:hint="eastAsia" w:asciiTheme="majorEastAsia" w:hAnsiTheme="majorEastAsia" w:eastAsiaTheme="majorEastAsia"/>
          <w:b/>
          <w:sz w:val="32"/>
          <w:szCs w:val="32"/>
        </w:rPr>
        <w:t xml:space="preserve">贵州阳光产权交易所交易服务费收取标准须知             </w:t>
      </w:r>
      <w:r>
        <w:rPr>
          <w:rFonts w:hint="eastAsia" w:asciiTheme="majorEastAsia" w:hAnsiTheme="majorEastAsia" w:eastAsiaTheme="majorEastAsia"/>
          <w:b/>
          <w:color w:val="auto"/>
          <w:sz w:val="32"/>
          <w:szCs w:val="32"/>
        </w:rPr>
        <w:t>（资产处置类）</w:t>
      </w:r>
    </w:p>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意向受让方在项目报名前，应认真阅读本须知。</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为了进一步推进贵州省产权交易市场的规范发展，建立有序竞争的市场秩序，规范各业务类型的收费行为，根据黔产权通[2020]10号，现就本所关于资产处置类服务费收取标准告知如下：</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一、资产处置服务费</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资产处置服务费根据成交额按差额定率累进法计算，具体标准如下：</w:t>
      </w:r>
    </w:p>
    <w:tbl>
      <w:tblPr>
        <w:tblStyle w:val="4"/>
        <w:tblW w:w="8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128"/>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资产处置服务费 （计价基础：成交价）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成交额（万元）</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费  率</w:t>
            </w: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1080" w:firstLineChars="450"/>
              <w:rPr>
                <w:rFonts w:asciiTheme="minorEastAsia" w:hAnsiTheme="minorEastAsia"/>
                <w:color w:val="auto"/>
                <w:sz w:val="24"/>
                <w:szCs w:val="24"/>
              </w:rPr>
            </w:pPr>
            <w:r>
              <w:rPr>
                <w:rFonts w:hint="eastAsia" w:asciiTheme="minorEastAsia" w:hAnsiTheme="minorEastAsia"/>
                <w:color w:val="auto"/>
                <w:sz w:val="24"/>
                <w:szCs w:val="24"/>
              </w:rPr>
              <w:t>收费对象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1000（含）以下</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2.0%</w:t>
            </w: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1200" w:firstLineChars="500"/>
              <w:rPr>
                <w:rFonts w:asciiTheme="minorEastAsia" w:hAnsiTheme="minorEastAsia"/>
                <w:color w:val="auto"/>
                <w:sz w:val="24"/>
                <w:szCs w:val="24"/>
              </w:rPr>
            </w:pPr>
            <w:r>
              <w:rPr>
                <w:rFonts w:hint="eastAsia" w:asciiTheme="minorEastAsia" w:hAnsiTheme="minorEastAsia"/>
                <w:color w:val="auto"/>
                <w:sz w:val="24"/>
                <w:szCs w:val="24"/>
              </w:rPr>
              <w:t>受让方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1000——5000（含）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1.3%</w:t>
            </w:r>
          </w:p>
        </w:tc>
        <w:tc>
          <w:tcPr>
            <w:tcW w:w="30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受让方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5000——10000（含）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0.7%</w:t>
            </w:r>
          </w:p>
        </w:tc>
        <w:tc>
          <w:tcPr>
            <w:tcW w:w="30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受让方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10000——50000（含）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0.4%</w:t>
            </w:r>
          </w:p>
        </w:tc>
        <w:tc>
          <w:tcPr>
            <w:tcW w:w="30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受让方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50000以上</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0.2%</w:t>
            </w:r>
          </w:p>
        </w:tc>
        <w:tc>
          <w:tcPr>
            <w:tcW w:w="30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受让方</w:t>
            </w:r>
          </w:p>
        </w:tc>
      </w:tr>
    </w:tbl>
    <w:p>
      <w:pPr>
        <w:tabs>
          <w:tab w:val="left" w:pos="0"/>
        </w:tabs>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注</w:t>
      </w:r>
      <w:r>
        <w:rPr>
          <w:rFonts w:asciiTheme="minorEastAsia" w:hAnsiTheme="minorEastAsia"/>
          <w:color w:val="auto"/>
          <w:sz w:val="24"/>
          <w:szCs w:val="24"/>
        </w:rPr>
        <w:t>：</w:t>
      </w:r>
      <w:r>
        <w:rPr>
          <w:rFonts w:hint="eastAsia" w:asciiTheme="minorEastAsia" w:hAnsiTheme="minorEastAsia"/>
          <w:color w:val="auto"/>
          <w:sz w:val="24"/>
          <w:szCs w:val="24"/>
        </w:rPr>
        <w:t>按上述标准计算，资产处置交易服务费不足500元的按500元收取；2、</w:t>
      </w:r>
      <w:r>
        <w:rPr>
          <w:rFonts w:hint="eastAsia" w:asciiTheme="minorEastAsia" w:hAnsiTheme="minorEastAsia"/>
          <w:color w:val="auto"/>
          <w:sz w:val="24"/>
          <w:szCs w:val="24"/>
          <w:lang w:val="en-US" w:eastAsia="zh-CN"/>
        </w:rPr>
        <w:t>竞价</w:t>
      </w:r>
      <w:r>
        <w:rPr>
          <w:rFonts w:hint="eastAsia" w:asciiTheme="minorEastAsia" w:hAnsiTheme="minorEastAsia"/>
          <w:color w:val="auto"/>
          <w:sz w:val="24"/>
          <w:szCs w:val="24"/>
        </w:rPr>
        <w:t>项目，除交纳资产处置服务费外，还须交纳本须知第二条之公开遴选服务费。</w:t>
      </w:r>
    </w:p>
    <w:p>
      <w:pPr>
        <w:spacing w:line="360" w:lineRule="auto"/>
        <w:ind w:left="435" w:firstLine="120" w:firstLineChars="50"/>
        <w:rPr>
          <w:rFonts w:asciiTheme="minorEastAsia" w:hAnsiTheme="minorEastAsia"/>
          <w:color w:val="auto"/>
          <w:sz w:val="24"/>
          <w:szCs w:val="24"/>
        </w:rPr>
      </w:pPr>
      <w:r>
        <w:rPr>
          <w:rFonts w:hint="eastAsia" w:asciiTheme="minorEastAsia" w:hAnsiTheme="minorEastAsia"/>
          <w:color w:val="auto"/>
          <w:sz w:val="24"/>
          <w:szCs w:val="24"/>
        </w:rPr>
        <w:t>二、公开遴选服务费</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公开遴选服务费指通过遴选确定最终受让方（投资方）而收取的服务费，公开遴选服务费包括采取网络竞价、竞争性谈判、综合评议等遴选方式所收取的服务费。</w:t>
      </w:r>
    </w:p>
    <w:p>
      <w:pPr>
        <w:spacing w:line="360" w:lineRule="auto"/>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rPr>
        <w:t>公开遴选服务费根据成交额按差额定率累进法计算，具体标准如下：</w:t>
      </w:r>
    </w:p>
    <w:p>
      <w:pPr>
        <w:spacing w:line="360" w:lineRule="auto"/>
        <w:ind w:firstLine="480" w:firstLineChars="200"/>
        <w:rPr>
          <w:rFonts w:hint="eastAsia" w:asciiTheme="minorEastAsia" w:hAnsiTheme="minorEastAsia"/>
          <w:color w:val="auto"/>
          <w:sz w:val="24"/>
          <w:szCs w:val="24"/>
        </w:rPr>
      </w:pPr>
    </w:p>
    <w:tbl>
      <w:tblPr>
        <w:tblStyle w:val="4"/>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2"/>
        <w:gridCol w:w="2128"/>
        <w:gridCol w:w="306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公开遴选服务费 （计价基础：成交价）</w:t>
            </w:r>
          </w:p>
        </w:tc>
        <w:tc>
          <w:tcPr>
            <w:tcW w:w="1605" w:type="dxa"/>
            <w:tcBorders>
              <w:top w:val="single" w:color="auto" w:sz="4" w:space="0"/>
              <w:left w:val="single" w:color="auto" w:sz="4" w:space="0"/>
              <w:bottom w:val="single" w:color="auto" w:sz="4" w:space="0"/>
              <w:right w:val="single" w:color="auto" w:sz="4" w:space="0"/>
            </w:tcBorders>
          </w:tcPr>
          <w:p>
            <w:pPr>
              <w:spacing w:line="360" w:lineRule="auto"/>
              <w:rPr>
                <w:rFonts w:hint="eastAsia"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6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成交额（万元）</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费  率</w:t>
            </w: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1080" w:firstLineChars="450"/>
              <w:rPr>
                <w:rFonts w:asciiTheme="minorEastAsia" w:hAnsiTheme="minorEastAsia"/>
                <w:color w:val="auto"/>
                <w:sz w:val="24"/>
                <w:szCs w:val="24"/>
              </w:rPr>
            </w:pPr>
            <w:r>
              <w:rPr>
                <w:rFonts w:hint="eastAsia" w:asciiTheme="minorEastAsia" w:hAnsiTheme="minorEastAsia"/>
                <w:color w:val="auto"/>
                <w:sz w:val="24"/>
                <w:szCs w:val="24"/>
              </w:rPr>
              <w:t>收费对象</w:t>
            </w:r>
          </w:p>
        </w:tc>
        <w:tc>
          <w:tcPr>
            <w:tcW w:w="1605" w:type="dxa"/>
            <w:tcBorders>
              <w:top w:val="single" w:color="auto" w:sz="4" w:space="0"/>
              <w:left w:val="single" w:color="auto" w:sz="4" w:space="0"/>
              <w:bottom w:val="single" w:color="auto" w:sz="4" w:space="0"/>
              <w:right w:val="single" w:color="auto" w:sz="4" w:space="0"/>
            </w:tcBorders>
          </w:tcPr>
          <w:p>
            <w:pPr>
              <w:spacing w:line="360" w:lineRule="auto"/>
              <w:ind w:firstLine="1080" w:firstLineChars="450"/>
              <w:rPr>
                <w:rFonts w:hint="eastAsia"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500（含）以下</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2.5%</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受让方、投资方</w:t>
            </w:r>
          </w:p>
        </w:tc>
        <w:tc>
          <w:tcPr>
            <w:tcW w:w="16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500——1000（含）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2.0%</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受让方、投资方</w:t>
            </w:r>
          </w:p>
        </w:tc>
        <w:tc>
          <w:tcPr>
            <w:tcW w:w="16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1000——5000（含）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1.5%</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受让方、投资方</w:t>
            </w:r>
          </w:p>
        </w:tc>
        <w:tc>
          <w:tcPr>
            <w:tcW w:w="16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6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5000——10000（含）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0.8%</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受让方、投资方</w:t>
            </w:r>
          </w:p>
        </w:tc>
        <w:tc>
          <w:tcPr>
            <w:tcW w:w="16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6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10000以上</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0.5%</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受让方、投资方</w:t>
            </w:r>
          </w:p>
        </w:tc>
        <w:tc>
          <w:tcPr>
            <w:tcW w:w="16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color w:val="auto"/>
                <w:sz w:val="24"/>
                <w:szCs w:val="24"/>
              </w:rPr>
            </w:pPr>
          </w:p>
        </w:tc>
      </w:tr>
    </w:tbl>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注: 采取公开拍卖等方式的项目，按本须知规定的产（股）权交易服务收费标准向本所交纳服务费（以成交价计算）外，拍卖佣金由承担拍卖事务的拍卖中介另行收取。</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三、其他</w:t>
      </w:r>
    </w:p>
    <w:p>
      <w:pPr>
        <w:spacing w:line="360" w:lineRule="auto"/>
        <w:ind w:firstLine="480"/>
        <w:rPr>
          <w:rFonts w:asciiTheme="minorEastAsia" w:hAnsiTheme="minorEastAsia"/>
          <w:color w:val="auto"/>
          <w:sz w:val="24"/>
          <w:szCs w:val="24"/>
        </w:rPr>
      </w:pPr>
      <w:r>
        <w:rPr>
          <w:rFonts w:hint="eastAsia" w:asciiTheme="minorEastAsia" w:hAnsiTheme="minorEastAsia"/>
          <w:color w:val="auto"/>
          <w:sz w:val="24"/>
          <w:szCs w:val="24"/>
        </w:rPr>
        <w:t>如意向受让方对</w:t>
      </w:r>
      <w:r>
        <w:rPr>
          <w:rFonts w:asciiTheme="minorEastAsia" w:hAnsiTheme="minorEastAsia"/>
          <w:color w:val="auto"/>
          <w:sz w:val="24"/>
          <w:szCs w:val="24"/>
        </w:rPr>
        <w:t>上述</w:t>
      </w:r>
      <w:r>
        <w:rPr>
          <w:rFonts w:hint="eastAsia" w:asciiTheme="minorEastAsia" w:hAnsiTheme="minorEastAsia"/>
          <w:color w:val="auto"/>
          <w:sz w:val="24"/>
          <w:szCs w:val="24"/>
        </w:rPr>
        <w:t>须知有任何不明或异议，应事先以书面形式向本所提出并要求做出解释和澄清。</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确定受让方后，若因交易一方或双方不按规定签订资产交易合同的，本所可以按照应收取资产处置服务费及公开遴选服务费的50%，向拒签方收取交易服务费用。双方签订资产交易合同又解除的，本所有权收取资产处置服务费及公开遴选服务费，受损一方可通过司法程序向违约方进行追偿。</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注：上文中所提及部分名词定义：</w:t>
      </w:r>
    </w:p>
    <w:p>
      <w:pPr>
        <w:spacing w:line="360" w:lineRule="auto"/>
        <w:ind w:firstLine="360" w:firstLineChars="150"/>
        <w:rPr>
          <w:rFonts w:asciiTheme="minorEastAsia" w:hAnsiTheme="minorEastAsia"/>
          <w:color w:val="auto"/>
          <w:sz w:val="24"/>
          <w:szCs w:val="24"/>
        </w:rPr>
      </w:pPr>
      <w:r>
        <w:rPr>
          <w:rFonts w:asciiTheme="minorEastAsia" w:hAnsiTheme="minorEastAsia"/>
          <w:color w:val="auto"/>
          <w:sz w:val="24"/>
          <w:szCs w:val="24"/>
        </w:rPr>
        <w:t>“</w:t>
      </w:r>
      <w:r>
        <w:rPr>
          <w:rFonts w:hint="eastAsia" w:asciiTheme="minorEastAsia" w:hAnsiTheme="minorEastAsia"/>
          <w:color w:val="auto"/>
          <w:sz w:val="24"/>
          <w:szCs w:val="24"/>
        </w:rPr>
        <w:t>本所</w:t>
      </w:r>
      <w:r>
        <w:rPr>
          <w:rFonts w:asciiTheme="minorEastAsia" w:hAnsiTheme="minorEastAsia"/>
          <w:color w:val="auto"/>
          <w:sz w:val="24"/>
          <w:szCs w:val="24"/>
        </w:rPr>
        <w:t>”</w:t>
      </w:r>
      <w:r>
        <w:rPr>
          <w:rFonts w:hint="eastAsia" w:asciiTheme="minorEastAsia" w:hAnsiTheme="minorEastAsia"/>
          <w:color w:val="auto"/>
          <w:sz w:val="24"/>
          <w:szCs w:val="24"/>
        </w:rPr>
        <w:t>：系指贵州阳光产权交易所有限公司。</w:t>
      </w:r>
    </w:p>
    <w:p>
      <w:pPr>
        <w:spacing w:line="360" w:lineRule="auto"/>
        <w:ind w:firstLine="360" w:firstLineChars="150"/>
        <w:rPr>
          <w:rFonts w:asciiTheme="minorEastAsia" w:hAnsiTheme="minorEastAsia"/>
          <w:color w:val="auto"/>
          <w:sz w:val="24"/>
          <w:szCs w:val="24"/>
        </w:rPr>
      </w:pPr>
      <w:r>
        <w:rPr>
          <w:rFonts w:hint="eastAsia" w:asciiTheme="minorEastAsia" w:hAnsiTheme="minorEastAsia"/>
          <w:color w:val="auto"/>
          <w:sz w:val="24"/>
          <w:szCs w:val="24"/>
        </w:rPr>
        <w:t>“意向受让方” ：系指在贵州阳光产权交易所有限公司正式办理求购登记并按标的信息披露公告要求提交相关资料并足额交纳保证金的企业法人、自然人或其他组织。</w:t>
      </w:r>
    </w:p>
    <w:p>
      <w:pPr>
        <w:spacing w:line="360" w:lineRule="auto"/>
        <w:ind w:firstLine="360" w:firstLineChars="150"/>
        <w:rPr>
          <w:rFonts w:asciiTheme="minorEastAsia" w:hAnsiTheme="minorEastAsia"/>
          <w:color w:val="auto"/>
          <w:sz w:val="24"/>
          <w:szCs w:val="24"/>
        </w:rPr>
      </w:pPr>
      <w:r>
        <w:rPr>
          <w:rFonts w:hint="eastAsia" w:asciiTheme="minorEastAsia" w:hAnsiTheme="minorEastAsia"/>
          <w:color w:val="auto"/>
          <w:sz w:val="24"/>
          <w:szCs w:val="24"/>
        </w:rPr>
        <w:t>“受让方” ：系指标的项目的最终买受人。</w:t>
      </w:r>
    </w:p>
    <w:p>
      <w:pPr>
        <w:spacing w:line="360" w:lineRule="auto"/>
        <w:ind w:firstLine="480" w:firstLineChars="200"/>
        <w:rPr>
          <w:rFonts w:asciiTheme="minorEastAsia" w:hAnsiTheme="minorEastAsia"/>
          <w:color w:val="auto"/>
          <w:sz w:val="24"/>
          <w:szCs w:val="24"/>
        </w:rPr>
      </w:pPr>
      <w:r>
        <w:rPr>
          <w:rFonts w:asciiTheme="minorEastAsia" w:hAnsiTheme="minorEastAsia"/>
          <w:color w:val="auto"/>
          <w:sz w:val="24"/>
          <w:szCs w:val="24"/>
        </w:rPr>
        <w:t>如果</w:t>
      </w:r>
      <w:r>
        <w:rPr>
          <w:rFonts w:hint="eastAsia" w:asciiTheme="minorEastAsia" w:hAnsiTheme="minorEastAsia"/>
          <w:color w:val="auto"/>
          <w:sz w:val="24"/>
          <w:szCs w:val="24"/>
        </w:rPr>
        <w:t>意向受让方</w:t>
      </w:r>
      <w:r>
        <w:rPr>
          <w:rFonts w:asciiTheme="minorEastAsia" w:hAnsiTheme="minorEastAsia"/>
          <w:color w:val="auto"/>
          <w:sz w:val="24"/>
          <w:szCs w:val="24"/>
        </w:rPr>
        <w:t>对上述</w:t>
      </w:r>
      <w:r>
        <w:rPr>
          <w:rFonts w:hint="eastAsia" w:asciiTheme="minorEastAsia" w:hAnsiTheme="minorEastAsia"/>
          <w:color w:val="auto"/>
          <w:sz w:val="24"/>
          <w:szCs w:val="24"/>
        </w:rPr>
        <w:t>须知</w:t>
      </w:r>
      <w:r>
        <w:rPr>
          <w:rFonts w:asciiTheme="minorEastAsia" w:hAnsiTheme="minorEastAsia"/>
          <w:color w:val="auto"/>
          <w:sz w:val="24"/>
          <w:szCs w:val="24"/>
        </w:rPr>
        <w:t>已完全了解,</w:t>
      </w:r>
      <w:r>
        <w:rPr>
          <w:rFonts w:hint="eastAsia" w:asciiTheme="minorEastAsia" w:hAnsiTheme="minorEastAsia"/>
          <w:color w:val="auto"/>
          <w:sz w:val="24"/>
          <w:szCs w:val="24"/>
        </w:rPr>
        <w:t>同意遵守本须知的，请盖章或</w:t>
      </w:r>
      <w:r>
        <w:rPr>
          <w:rFonts w:asciiTheme="minorEastAsia" w:hAnsiTheme="minorEastAsia"/>
          <w:color w:val="auto"/>
          <w:sz w:val="24"/>
          <w:szCs w:val="24"/>
        </w:rPr>
        <w:t>签字确认。</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本须知一式两联，贵州阳光产权交易所有限公司和意向受让方各持一联。</w:t>
      </w:r>
    </w:p>
    <w:p>
      <w:pPr>
        <w:spacing w:line="360" w:lineRule="auto"/>
        <w:rPr>
          <w:rFonts w:asciiTheme="minorEastAsia" w:hAnsiTheme="minorEastAsia"/>
          <w:color w:val="auto"/>
          <w:sz w:val="24"/>
          <w:szCs w:val="24"/>
        </w:rPr>
      </w:pPr>
    </w:p>
    <w:p>
      <w:pPr>
        <w:spacing w:line="360" w:lineRule="auto"/>
        <w:ind w:right="480"/>
        <w:rPr>
          <w:rFonts w:asciiTheme="minorEastAsia" w:hAnsiTheme="minorEastAsia"/>
          <w:color w:val="auto"/>
          <w:sz w:val="24"/>
          <w:szCs w:val="24"/>
        </w:rPr>
      </w:pPr>
    </w:p>
    <w:p>
      <w:pPr>
        <w:spacing w:line="360" w:lineRule="auto"/>
        <w:ind w:right="480"/>
        <w:rPr>
          <w:rFonts w:asciiTheme="minorEastAsia" w:hAnsiTheme="minorEastAsia"/>
          <w:color w:val="auto"/>
          <w:sz w:val="24"/>
          <w:szCs w:val="24"/>
        </w:rPr>
      </w:pPr>
    </w:p>
    <w:p>
      <w:pPr>
        <w:spacing w:line="360" w:lineRule="auto"/>
        <w:ind w:left="3780" w:right="480" w:hanging="3780" w:hangingChars="1575"/>
        <w:rPr>
          <w:rFonts w:asciiTheme="minorEastAsia" w:hAnsiTheme="minorEastAsia"/>
          <w:color w:val="auto"/>
          <w:sz w:val="24"/>
          <w:szCs w:val="24"/>
        </w:rPr>
      </w:pPr>
      <w:r>
        <w:rPr>
          <w:rFonts w:hint="eastAsia" w:asciiTheme="minorEastAsia" w:hAnsiTheme="minorEastAsia"/>
          <w:color w:val="auto"/>
          <w:sz w:val="24"/>
          <w:szCs w:val="24"/>
        </w:rPr>
        <w:t>意向受让方（签字或盖章）：</w:t>
      </w:r>
    </w:p>
    <w:p>
      <w:pPr>
        <w:spacing w:line="360" w:lineRule="auto"/>
        <w:ind w:left="3780" w:right="480" w:hanging="3780" w:hangingChars="1575"/>
        <w:rPr>
          <w:rFonts w:asciiTheme="minorEastAsia" w:hAnsiTheme="minorEastAsia"/>
          <w:color w:val="auto"/>
          <w:sz w:val="24"/>
          <w:szCs w:val="24"/>
        </w:rPr>
      </w:pPr>
      <w:r>
        <w:rPr>
          <w:rFonts w:hint="eastAsia" w:asciiTheme="minorEastAsia" w:hAnsiTheme="minorEastAsia"/>
          <w:color w:val="auto"/>
          <w:sz w:val="24"/>
          <w:szCs w:val="24"/>
        </w:rPr>
        <w:t xml:space="preserve"> </w:t>
      </w:r>
    </w:p>
    <w:p>
      <w:pPr>
        <w:spacing w:line="360" w:lineRule="auto"/>
        <w:ind w:left="3780" w:right="480" w:hanging="3780" w:hangingChars="1575"/>
        <w:rPr>
          <w:rFonts w:asciiTheme="minorEastAsia" w:hAnsiTheme="minorEastAsia"/>
          <w:color w:val="auto"/>
          <w:sz w:val="24"/>
          <w:szCs w:val="24"/>
        </w:rPr>
      </w:pPr>
    </w:p>
    <w:p>
      <w:pPr>
        <w:spacing w:line="360" w:lineRule="auto"/>
        <w:ind w:left="3780" w:right="480" w:hanging="3780" w:hangingChars="1575"/>
        <w:rPr>
          <w:rFonts w:asciiTheme="minorEastAsia" w:hAnsiTheme="minorEastAsia"/>
          <w:color w:val="auto"/>
          <w:sz w:val="24"/>
          <w:szCs w:val="24"/>
        </w:rPr>
      </w:pPr>
    </w:p>
    <w:p>
      <w:pPr>
        <w:spacing w:line="360" w:lineRule="auto"/>
        <w:ind w:left="3780" w:right="480" w:hanging="3780" w:hangingChars="1575"/>
        <w:rPr>
          <w:rFonts w:asciiTheme="majorEastAsia" w:hAnsiTheme="majorEastAsia" w:eastAsiaTheme="majorEastAsia"/>
          <w:color w:val="auto"/>
          <w:sz w:val="30"/>
          <w:szCs w:val="30"/>
        </w:rPr>
      </w:pPr>
      <w:r>
        <w:rPr>
          <w:rFonts w:hint="eastAsia" w:asciiTheme="minorEastAsia" w:hAnsiTheme="minorEastAsia"/>
          <w:color w:val="auto"/>
          <w:sz w:val="24"/>
          <w:szCs w:val="24"/>
        </w:rPr>
        <w:t>委托代理人（签字或盖章）：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2BE0"/>
    <w:rsid w:val="00017409"/>
    <w:rsid w:val="0005274D"/>
    <w:rsid w:val="00067849"/>
    <w:rsid w:val="000B1E7E"/>
    <w:rsid w:val="00102BE0"/>
    <w:rsid w:val="00117950"/>
    <w:rsid w:val="00132D80"/>
    <w:rsid w:val="00162202"/>
    <w:rsid w:val="00192728"/>
    <w:rsid w:val="00257E41"/>
    <w:rsid w:val="002657E4"/>
    <w:rsid w:val="00271BB2"/>
    <w:rsid w:val="002B2657"/>
    <w:rsid w:val="00313895"/>
    <w:rsid w:val="00365F1E"/>
    <w:rsid w:val="00367B90"/>
    <w:rsid w:val="003B0076"/>
    <w:rsid w:val="00485432"/>
    <w:rsid w:val="00592451"/>
    <w:rsid w:val="005A6F80"/>
    <w:rsid w:val="005B606F"/>
    <w:rsid w:val="006059A0"/>
    <w:rsid w:val="006109E7"/>
    <w:rsid w:val="006D4061"/>
    <w:rsid w:val="007113E7"/>
    <w:rsid w:val="007301CB"/>
    <w:rsid w:val="00740BF5"/>
    <w:rsid w:val="007D5FEB"/>
    <w:rsid w:val="007F2FFA"/>
    <w:rsid w:val="007F451A"/>
    <w:rsid w:val="00843DA3"/>
    <w:rsid w:val="0090674D"/>
    <w:rsid w:val="00952DC9"/>
    <w:rsid w:val="009C6EE3"/>
    <w:rsid w:val="009F02C1"/>
    <w:rsid w:val="00AD5870"/>
    <w:rsid w:val="00B940E2"/>
    <w:rsid w:val="00BF1C30"/>
    <w:rsid w:val="00C17EA3"/>
    <w:rsid w:val="00C44CA6"/>
    <w:rsid w:val="00CC5309"/>
    <w:rsid w:val="00CC7228"/>
    <w:rsid w:val="00CE28F6"/>
    <w:rsid w:val="00D039C6"/>
    <w:rsid w:val="00D14A08"/>
    <w:rsid w:val="00D609F3"/>
    <w:rsid w:val="00DB08B4"/>
    <w:rsid w:val="00DB5CE3"/>
    <w:rsid w:val="00E8228C"/>
    <w:rsid w:val="00FE0D30"/>
    <w:rsid w:val="0B094A44"/>
    <w:rsid w:val="0D156D55"/>
    <w:rsid w:val="28835A5C"/>
    <w:rsid w:val="28F05937"/>
    <w:rsid w:val="32544310"/>
    <w:rsid w:val="3CF50F70"/>
    <w:rsid w:val="42EE5965"/>
    <w:rsid w:val="4B024DD6"/>
    <w:rsid w:val="5C071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BFEA37-530E-49DA-A7A4-632CECB747C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201</Words>
  <Characters>1152</Characters>
  <Lines>9</Lines>
  <Paragraphs>2</Paragraphs>
  <TotalTime>42</TotalTime>
  <ScaleCrop>false</ScaleCrop>
  <LinksUpToDate>false</LinksUpToDate>
  <CharactersWithSpaces>1351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2019-08-12T03:11:00Z</dcterms:created>
  <dc:creator>何潇</dc:creator>
  <cp:lastModifiedBy>小虎</cp:lastModifiedBy>
  <cp:lastPrinted>2019-08-13T04:06:00Z</cp:lastPrinted>
  <dcterms:modified xsi:type="dcterms:W3CDTF">2021-05-24T06:21:40Z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1EAA8F7D0AD34C17AFA43EA99FE778CB</vt:lpwstr>
  </property>
</Properties>
</file>