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471EAF">
      <w:pPr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贵州红星发展大龙锰业有限责任公司持有的一批报废生产物资(铜阴极)转让项目现场踏勘确认书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91A5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A9F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F8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贵州红星发展大龙锰业有限责任公司持有的一批报废生产物资(铜阴极)转让项目</w:t>
            </w:r>
          </w:p>
        </w:tc>
      </w:tr>
      <w:tr w14:paraId="7F8E0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C26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7048">
            <w:pPr>
              <w:widowControl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贵州省铜仁市玉屏侗族自治县大龙镇草坪村崇滩</w:t>
            </w:r>
          </w:p>
        </w:tc>
      </w:tr>
      <w:tr w14:paraId="43693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A0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957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贵州红星发展大龙锰业有限责任公司</w:t>
            </w:r>
          </w:p>
        </w:tc>
      </w:tr>
      <w:tr w14:paraId="3FAB3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B49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27B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A7F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BC1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3399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FC6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E79E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11AEC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6BE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46A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437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15C6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AB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ADD0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    ：   ，对贵州红星发展大龙锰业有限责任公司持有的一批报废生产物资(铜阴极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进行了实地踏勘。本公司对转让方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处置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的厂房拆除一批废旧钢架的现状、存在的缺陷和其他相关情况已完全了解和确认，确认本次转让的标的资产具体情况均以现场踏勘实物现状为准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现自愿接受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处置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的贵州红星发展大龙锰业有限责任公司持有的一批报废生产物资(铜阴极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全部现状及缺陷，并愿承担一切责任与风险（包括受让后进行拆运作业的环境和安全风险）。</w:t>
            </w:r>
          </w:p>
        </w:tc>
      </w:tr>
      <w:tr w14:paraId="1EBEB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B846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18D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2395" w:type="dxa"/>
            <w:tcBorders>
              <w:left w:val="single" w:color="000000" w:sz="4" w:space="0"/>
            </w:tcBorders>
            <w:noWrap w:val="0"/>
            <w:vAlign w:val="top"/>
          </w:tcPr>
          <w:p w14:paraId="4B4919E9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实地踏勘意见：</w:t>
            </w:r>
          </w:p>
        </w:tc>
        <w:tc>
          <w:tcPr>
            <w:tcW w:w="4333" w:type="dxa"/>
            <w:tcBorders>
              <w:right w:val="single" w:color="000000" w:sz="4" w:space="0"/>
            </w:tcBorders>
            <w:noWrap w:val="0"/>
            <w:vAlign w:val="center"/>
          </w:tcPr>
          <w:p w14:paraId="605EA909">
            <w:pPr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F35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4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9165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3DE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8F6E">
            <w:pPr>
              <w:widowControl/>
              <w:ind w:firstLine="210" w:firstLineChars="1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转让方签章：                 意向受让方</w:t>
            </w:r>
            <w:r>
              <w:rPr>
                <w:rFonts w:hint="eastAsia"/>
              </w:rPr>
              <w:t>签章：</w:t>
            </w:r>
          </w:p>
          <w:p w14:paraId="7FB5E2CE">
            <w:pPr>
              <w:pStyle w:val="2"/>
              <w:rPr>
                <w:rFonts w:hint="eastAsia"/>
              </w:rPr>
            </w:pPr>
          </w:p>
          <w:p w14:paraId="40CB6094">
            <w:pPr>
              <w:rPr>
                <w:rFonts w:hint="eastAsia"/>
              </w:rPr>
            </w:pPr>
          </w:p>
          <w:p w14:paraId="5CAEA15D"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 w14:paraId="3C64E56D"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 w14:paraId="46538AC9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</w:tr>
      <w:tr w14:paraId="50998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9FE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E7EE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4B1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21675E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jFkYTk1M2UwNDQzZmQ3YWJkMmM0M2I2YTZhMTkifQ=="/>
    <w:docVar w:name="KSO_WPS_MARK_KEY" w:val="34811557-0e90-4508-ba77-757440b8ee98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1A8B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44667FD"/>
    <w:rsid w:val="04E75D90"/>
    <w:rsid w:val="08B35707"/>
    <w:rsid w:val="12406B37"/>
    <w:rsid w:val="1BFB3A3A"/>
    <w:rsid w:val="20091AE4"/>
    <w:rsid w:val="21723DED"/>
    <w:rsid w:val="2C04781F"/>
    <w:rsid w:val="2DAC7E70"/>
    <w:rsid w:val="39B5324B"/>
    <w:rsid w:val="3DA5303C"/>
    <w:rsid w:val="3FB45F5E"/>
    <w:rsid w:val="42A16DCB"/>
    <w:rsid w:val="666966C7"/>
    <w:rsid w:val="6B7F670D"/>
    <w:rsid w:val="6EE36E92"/>
    <w:rsid w:val="7018671E"/>
    <w:rsid w:val="78FF191A"/>
    <w:rsid w:val="7C3D33B0"/>
    <w:rsid w:val="7E7C4FB1"/>
    <w:rsid w:val="7E8B3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link w:val="6"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semiHidden/>
    <w:qFormat/>
    <w:uiPriority w:val="99"/>
    <w:rPr>
      <w:szCs w:val="24"/>
    </w:rPr>
  </w:style>
  <w:style w:type="paragraph" w:customStyle="1" w:styleId="17">
    <w:name w:val="正文表格"/>
    <w:basedOn w:val="1"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367</Words>
  <Characters>374</Characters>
  <Lines>3</Lines>
  <Paragraphs>1</Paragraphs>
  <TotalTime>2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宇凡图文</cp:lastModifiedBy>
  <cp:lastPrinted>2022-01-25T02:16:00Z</cp:lastPrinted>
  <dcterms:modified xsi:type="dcterms:W3CDTF">2026-03-04T08:07:46Z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1D2AAF3E9F874A418A34E62BB0B447EA_13</vt:lpwstr>
  </property>
  <property fmtid="{D5CDD505-2E9C-101B-9397-08002B2CF9AE}" pid="4" name="KSOTemplateDocerSaveRecord">
    <vt:lpwstr>eyJoZGlkIjoiN2ZlMGY4Mjk4NTNhODg0ZTk5NjUwYzhmMTE1Nzg1MWUiLCJ1c2VySWQiOiIyNjgxNjY3NTcifQ==</vt:lpwstr>
  </property>
</Properties>
</file>