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47</w:t>
      </w:r>
      <w:r>
        <w:rPr>
          <w:rFonts w:hint="eastAsia" w:ascii="黑体" w:hAnsi="黑体" w:eastAsia="黑体" w:cs="宋体"/>
          <w:kern w:val="0"/>
          <w:sz w:val="30"/>
          <w:szCs w:val="30"/>
        </w:rPr>
        <w:t>台报废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出租车</w:t>
      </w:r>
      <w:r>
        <w:rPr>
          <w:rFonts w:hint="eastAsia" w:ascii="黑体" w:hAnsi="黑体" w:eastAsia="黑体" w:cs="宋体"/>
          <w:kern w:val="0"/>
          <w:sz w:val="30"/>
          <w:szCs w:val="30"/>
        </w:rPr>
        <w:t>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贵阳市公共交通有限公司47台报废出租车处置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，对贵阳市公共交通有限公司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47台报废出租车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47台报废出租车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的现状、存在的缺陷（包含但不限于车辆零部件缺失、车辆解体等）和其他相关情况已完全了解和确认，现自愿接受转让的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47台报废出租车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20091AE4"/>
    <w:rsid w:val="2C04781F"/>
    <w:rsid w:val="3DA5303C"/>
    <w:rsid w:val="3FB45F5E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autoRedefine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312</Characters>
  <Lines>3</Lines>
  <Paragraphs>1</Paragraphs>
  <TotalTime>4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2024-01-08T08:58:14Z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7BA4FAFEE2B9457DA8E203660CC0661F_13</vt:lpwstr>
  </property>
</Properties>
</file>