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9AEB69">
      <w:pPr>
        <w:pStyle w:val="2"/>
        <w:keepNext/>
        <w:keepLines/>
        <w:pageBreakBefore w:val="0"/>
        <w:widowControl w:val="0"/>
        <w:kinsoku/>
        <w:wordWrap/>
        <w:overflowPunct/>
        <w:topLinePunct w:val="0"/>
        <w:autoSpaceDE/>
        <w:autoSpaceDN/>
        <w:bidi w:val="0"/>
        <w:adjustRightInd/>
        <w:snapToGrid/>
        <w:spacing w:before="0" w:after="0" w:line="680" w:lineRule="exact"/>
        <w:jc w:val="center"/>
        <w:textAlignment w:val="auto"/>
        <w:rPr>
          <w:rFonts w:hint="eastAsia" w:ascii="方正小标宋简体" w:hAnsi="方正小标宋简体" w:eastAsia="方正小标宋简体" w:cs="方正小标宋简体"/>
          <w:b w:val="0"/>
          <w:bCs/>
          <w:sz w:val="44"/>
          <w:szCs w:val="44"/>
          <w:lang w:val="en-US" w:eastAsia="zh-CN"/>
        </w:rPr>
      </w:pPr>
      <w:bookmarkStart w:id="0" w:name="_GoBack"/>
      <w:bookmarkEnd w:id="0"/>
      <w:r>
        <w:rPr>
          <w:rFonts w:hint="eastAsia" w:ascii="方正小标宋简体" w:hAnsi="方正小标宋简体" w:eastAsia="方正小标宋简体" w:cs="方正小标宋简体"/>
          <w:sz w:val="44"/>
          <w:szCs w:val="44"/>
          <w:lang w:val="en-US" w:eastAsia="zh-CN"/>
        </w:rPr>
        <w:t>贵阳奥体中心演唱会二销业态招商</w:t>
      </w:r>
      <w:r>
        <w:rPr>
          <w:rFonts w:hint="eastAsia" w:ascii="方正小标宋简体" w:hAnsi="方正小标宋简体" w:eastAsia="方正小标宋简体" w:cs="方正小标宋简体"/>
          <w:b w:val="0"/>
          <w:bCs/>
          <w:sz w:val="44"/>
          <w:szCs w:val="44"/>
          <w:lang w:val="en-US" w:eastAsia="zh-CN"/>
        </w:rPr>
        <w:t>方案</w:t>
      </w:r>
    </w:p>
    <w:p w14:paraId="366DEDE1">
      <w:pPr>
        <w:pageBreakBefore w:val="0"/>
        <w:widowControl w:val="0"/>
        <w:kinsoku/>
        <w:wordWrap/>
        <w:overflowPunct/>
        <w:topLinePunct w:val="0"/>
        <w:autoSpaceDE/>
        <w:autoSpaceDN/>
        <w:bidi w:val="0"/>
        <w:adjustRightInd/>
        <w:snapToGrid/>
        <w:spacing w:line="680" w:lineRule="exact"/>
        <w:textAlignment w:val="auto"/>
        <w:rPr>
          <w:rFonts w:hint="eastAsia"/>
          <w:sz w:val="44"/>
          <w:szCs w:val="44"/>
          <w:lang w:val="en-US" w:eastAsia="zh-CN"/>
        </w:rPr>
      </w:pPr>
    </w:p>
    <w:p w14:paraId="3540F86B">
      <w:pPr>
        <w:keepNext w:val="0"/>
        <w:keepLines w:val="0"/>
        <w:pageBreakBefore w:val="0"/>
        <w:widowControl w:val="0"/>
        <w:numPr>
          <w:ilvl w:val="0"/>
          <w:numId w:val="1"/>
        </w:numPr>
        <w:kinsoku/>
        <w:wordWrap/>
        <w:overflowPunct/>
        <w:topLinePunct w:val="0"/>
        <w:autoSpaceDE/>
        <w:autoSpaceDN/>
        <w:bidi w:val="0"/>
        <w:adjustRightInd/>
        <w:snapToGrid/>
        <w:spacing w:line="554" w:lineRule="exact"/>
        <w:ind w:left="0" w:firstLine="640" w:firstLineChars="200"/>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资产概况</w:t>
      </w:r>
    </w:p>
    <w:p w14:paraId="0D39E660">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贵阳奥林匹克体育中心一期（以下简称"贵阳奥体中心一期"）二销业态项目，位于贵阳市观山湖区云潭南路。其中二楼设有9间商铺店面，内场设有1个帐篷点位商铺，给大型演唱会观演消费者提供吃喝玩乐的二销服务。</w:t>
      </w:r>
    </w:p>
    <w:p w14:paraId="497D6917">
      <w:pPr>
        <w:keepNext w:val="0"/>
        <w:keepLines w:val="0"/>
        <w:pageBreakBefore w:val="0"/>
        <w:widowControl w:val="0"/>
        <w:numPr>
          <w:ilvl w:val="0"/>
          <w:numId w:val="1"/>
        </w:numPr>
        <w:kinsoku/>
        <w:wordWrap/>
        <w:overflowPunct/>
        <w:topLinePunct w:val="0"/>
        <w:autoSpaceDE/>
        <w:autoSpaceDN/>
        <w:bidi w:val="0"/>
        <w:adjustRightInd/>
        <w:snapToGrid/>
        <w:spacing w:line="554" w:lineRule="exact"/>
        <w:ind w:left="0"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合作模式</w:t>
      </w:r>
    </w:p>
    <w:p w14:paraId="238F5A9A">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firstLine="640" w:firstLineChars="200"/>
        <w:textAlignment w:val="auto"/>
        <w:rPr>
          <w:rFonts w:hint="default"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sz w:val="32"/>
          <w:szCs w:val="32"/>
          <w:u w:val="none"/>
          <w:lang w:val="en-US" w:eastAsia="zh-CN"/>
        </w:rPr>
        <w:t>（一）</w:t>
      </w:r>
      <w:r>
        <w:rPr>
          <w:rFonts w:hint="eastAsia" w:ascii="仿宋_GB2312" w:hAnsi="仿宋_GB2312" w:eastAsia="仿宋_GB2312" w:cs="仿宋_GB2312"/>
          <w:color w:val="auto"/>
          <w:sz w:val="32"/>
          <w:szCs w:val="32"/>
          <w:u w:val="none"/>
          <w:lang w:val="en-US" w:eastAsia="zh-CN"/>
        </w:rPr>
        <w:t>合作期：19场演唱会（1天/场），从合同签订之日起计算</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合作</w:t>
      </w:r>
      <w:r>
        <w:rPr>
          <w:rFonts w:hint="eastAsia" w:ascii="仿宋_GB2312" w:hAnsi="仿宋_GB2312" w:eastAsia="仿宋_GB2312" w:cs="仿宋_GB2312"/>
          <w:color w:val="auto"/>
          <w:sz w:val="32"/>
          <w:szCs w:val="32"/>
          <w:u w:val="none"/>
          <w:lang w:val="en-US" w:eastAsia="zh-CN"/>
        </w:rPr>
        <w:t>期。</w:t>
      </w:r>
    </w:p>
    <w:p w14:paraId="7F9E9E5D">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（二）项目改造标准</w:t>
      </w:r>
    </w:p>
    <w:p w14:paraId="6382E73E">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firstLine="640" w:firstLineChars="200"/>
        <w:textAlignment w:val="auto"/>
        <w:rPr>
          <w:rFonts w:hint="default"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招商方负责对本项目实施改造提升，确保点位硬件装修完善。</w:t>
      </w:r>
    </w:p>
    <w:p w14:paraId="2232E8AC">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firstLine="640" w:firstLineChars="200"/>
        <w:textAlignment w:val="auto"/>
        <w:rPr>
          <w:rFonts w:hint="default" w:ascii="仿宋_GB2312" w:hAnsi="仿宋_GB2312" w:eastAsia="仿宋_GB2312" w:cs="仿宋_GB2312"/>
          <w:sz w:val="32"/>
          <w:szCs w:val="32"/>
          <w:u w:val="none"/>
          <w:lang w:val="en-US" w:eastAsia="zh-CN"/>
        </w:rPr>
      </w:pPr>
      <w:r>
        <w:rPr>
          <w:rFonts w:hint="eastAsia" w:ascii="仿宋_GB2312" w:hAnsi="仿宋_GB2312" w:eastAsia="仿宋_GB2312" w:cs="仿宋_GB2312"/>
          <w:color w:val="auto"/>
          <w:sz w:val="32"/>
          <w:szCs w:val="32"/>
          <w:u w:val="none"/>
          <w:lang w:val="en-US" w:eastAsia="zh-CN"/>
        </w:rPr>
        <w:t>（三）</w:t>
      </w:r>
      <w:r>
        <w:rPr>
          <w:rFonts w:hint="eastAsia" w:ascii="仿宋_GB2312" w:hAnsi="仿宋_GB2312" w:eastAsia="仿宋_GB2312" w:cs="仿宋_GB2312"/>
          <w:color w:val="auto"/>
          <w:sz w:val="32"/>
          <w:szCs w:val="32"/>
          <w:lang w:val="en-US" w:eastAsia="zh-CN"/>
        </w:rPr>
        <w:t>合作要求：在我司场馆举办的19场（天）演唱会期间，拟将贵阳奥体中心二楼店铺及内场共计十个点位作为二销经营场地，意向合作方开展二销业态经营。双方按场次进行结算，我司在每场活动意向合作方开展的二销经营营收中抽取10%的抽成后，剩余返款给意向合作方。意向合作方在19场演出开展二销经营业态给予我司的利润不得低于68万元，需缴纳履约保证金10万元。且需具备强商业运营管理能力、掌握丰富全业态品牌资源（涵盖文创、餐饮、精酿、咖啡、商场等品牌商家不低于30家）需提供印证资料，并具备活动策划与执行能力（需提供案例），同时需对活动开展现场的安全问题（包括但不限于食品安全、生产安全、消防安全等）负责，注册资本金不得低于100万（含100万）。</w:t>
      </w:r>
    </w:p>
    <w:p w14:paraId="6E70C4B5">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left="0" w:firstLine="640" w:firstLineChars="200"/>
        <w:textAlignment w:val="auto"/>
        <w:rPr>
          <w:rFonts w:hint="eastAsia" w:ascii="仿宋_GB2312" w:hAnsi="仿宋_GB2312" w:eastAsia="仿宋_GB2312" w:cs="仿宋_GB2312"/>
          <w:b/>
          <w:bCs/>
          <w:color w:val="auto"/>
          <w:sz w:val="32"/>
          <w:szCs w:val="32"/>
          <w:lang w:val="en-US" w:eastAsia="zh-CN"/>
        </w:rPr>
      </w:pPr>
      <w:r>
        <w:rPr>
          <w:rFonts w:hint="eastAsia" w:ascii="黑体" w:hAnsi="黑体" w:eastAsia="黑体" w:cs="黑体"/>
          <w:b w:val="0"/>
          <w:bCs w:val="0"/>
          <w:color w:val="auto"/>
          <w:sz w:val="32"/>
          <w:szCs w:val="32"/>
          <w:lang w:val="en-US" w:eastAsia="zh-CN"/>
        </w:rPr>
        <w:t>三、缴款方式</w:t>
      </w:r>
    </w:p>
    <w:p w14:paraId="19DF2F19">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left="0" w:firstLine="643"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b/>
          <w:bCs/>
          <w:color w:val="auto"/>
          <w:sz w:val="32"/>
          <w:szCs w:val="32"/>
          <w:lang w:val="en-US" w:eastAsia="zh-CN"/>
        </w:rPr>
        <w:t>（一）保证金：</w:t>
      </w:r>
      <w:r>
        <w:rPr>
          <w:rFonts w:hint="eastAsia" w:ascii="仿宋_GB2312" w:hAnsi="仿宋_GB2312" w:eastAsia="仿宋_GB2312" w:cs="仿宋_GB2312"/>
          <w:sz w:val="32"/>
          <w:szCs w:val="32"/>
          <w:u w:val="none"/>
          <w:lang w:val="en-US" w:eastAsia="zh-CN"/>
        </w:rPr>
        <w:t>先付后用，合同签订后支付。</w:t>
      </w:r>
    </w:p>
    <w:p w14:paraId="00EF62B2">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left="0" w:firstLine="643"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bCs/>
          <w:color w:val="auto"/>
          <w:sz w:val="32"/>
          <w:szCs w:val="32"/>
          <w:lang w:val="en-US" w:eastAsia="zh-CN"/>
        </w:rPr>
        <w:t>（二）收益：</w:t>
      </w:r>
      <w:r>
        <w:rPr>
          <w:rFonts w:hint="eastAsia" w:ascii="仿宋_GB2312" w:hAnsi="仿宋_GB2312" w:eastAsia="仿宋_GB2312" w:cs="仿宋_GB2312"/>
          <w:b w:val="0"/>
          <w:bCs w:val="0"/>
          <w:color w:val="auto"/>
          <w:sz w:val="32"/>
          <w:szCs w:val="32"/>
          <w:lang w:val="en-US" w:eastAsia="zh-CN"/>
        </w:rPr>
        <w:t>双方以活动场次为核算周期，按场次营收据实支付收益分成。全年营收抽成利润不足68万元的，需在合作期结束前补齐。</w:t>
      </w:r>
    </w:p>
    <w:p w14:paraId="1D4BF131">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left="0" w:firstLine="640" w:firstLineChars="200"/>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四、装修及履约保证金</w:t>
      </w:r>
    </w:p>
    <w:p w14:paraId="05C2514E">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sz w:val="32"/>
          <w:szCs w:val="32"/>
          <w:u w:val="none"/>
          <w:lang w:val="en-US" w:eastAsia="zh-CN"/>
        </w:rPr>
        <w:t>（一）日常履约保证金：</w:t>
      </w:r>
      <w:r>
        <w:rPr>
          <w:rFonts w:hint="eastAsia" w:ascii="仿宋_GB2312" w:hAnsi="仿宋_GB2312" w:eastAsia="仿宋_GB2312" w:cs="仿宋_GB2312"/>
          <w:color w:val="auto"/>
          <w:sz w:val="32"/>
          <w:szCs w:val="32"/>
          <w:u w:val="none"/>
          <w:lang w:val="en-US" w:eastAsia="zh-CN"/>
        </w:rPr>
        <w:t>10万元</w:t>
      </w:r>
    </w:p>
    <w:p w14:paraId="2AFA50BA">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firstLine="640" w:firstLineChars="200"/>
        <w:textAlignment w:val="auto"/>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1</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履约保证金的用途包括但不限于：弥补</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意向合作方</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因拖欠</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合作费用</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、违约金、损害租赁物及附属设施、擅自解除合同等违约行为给</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招商</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方造成的损失；抵扣</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意向合作方</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应承担的未结清费用。</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br w:type="textWrapping"/>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 xml:space="preserve">    </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.合作</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期满或合同依法解除后，若</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意向合作方</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无任何违约行为、已结清全部应付费用（包括</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合作费用</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、维修费等），且完好交还租赁物及附属设施，</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招商</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方在</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意向合作方</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完成搬离并办理完毕交接手续后的15个工作日内，将日常履约保证金全额无息退还给</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意向合作方</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br w:type="textWrapping"/>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 xml:space="preserve">    </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若</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意向合作方</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存在违约行为，</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招商</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方有权从该履约保证金中直接扣除相应金额弥补损失；若日常履约保证金不足以覆盖全部损失，</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招商</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方有权就不足部分向</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意向合作方</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另行追偿。</w:t>
      </w:r>
    </w:p>
    <w:p w14:paraId="2A547739">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left="0" w:leftChars="0" w:firstLine="640" w:firstLineChars="200"/>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五、意向合作方引入模式</w:t>
      </w:r>
    </w:p>
    <w:p w14:paraId="6D754E32">
      <w:pPr>
        <w:pStyle w:val="3"/>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委托贵州阳光产权交易所有限公司采用公开征集方式组织遴选工作；若只征集到1个意向合作方时，由贵州阳光产权交易所有限公司组织双方按挂牌条件直接签订合同；若征集到2个及2个以上意向意向合作方时，则采用综合评议法进行评议。综合评议法，是指在满足</w:t>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fldChar w:fldCharType="begin"/>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instrText xml:space="preserve"> HYPERLINK "http://www.baidu.com/s?wd=%E6%8B%9B%E6%A0%87%E6%96%87%E4%BB%B6&amp;hl_tag=textlink&amp;tn=SE_hldp01350_v6v6zkg6" \t "_blank" </w:instrText>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fldChar w:fldCharType="separate"/>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遴选文件</w:t>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fldChar w:fldCharType="end"/>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实质性要求的前提下，评议小组按照</w:t>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fldChar w:fldCharType="begin"/>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instrText xml:space="preserve"> HYPERLINK "http://www.baidu.com/s?wd=%E6%8B%9B%E6%A0%87%E6%96%87%E4%BB%B6&amp;hl_tag=textlink&amp;tn=SE_hldp01350_v6v6zkg6" \t "_blank" </w:instrText>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fldChar w:fldCharType="separate"/>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采购文件</w:t>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fldChar w:fldCharType="end"/>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中规定的各项评审因素及其分值进行综合评议后，以评议从高到低的顺序推荐1家作为意向意向合作方。评议的主要因素分为价格因素、技术因素（如服务内容、服务质量、服务承诺等）和商务因素（如资质、信誉、服务期、质保期等）。评议因素详见综合评分表。评议分值保留至两位小数。评议时，评议小组依照综合评分表对每个有效意向合作方的遴选文件进行独立评议、打分。</w:t>
      </w:r>
    </w:p>
    <w:p w14:paraId="03637A3A">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left="0" w:leftChars="0" w:firstLine="640" w:firstLineChars="200"/>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六、意向合作方条件</w:t>
      </w:r>
    </w:p>
    <w:p w14:paraId="761D0555">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firstLine="640" w:firstLineChars="200"/>
        <w:textAlignment w:val="auto"/>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1.意向合作方必须是在</w:t>
      </w: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国内注册的独立企业法人，</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且经营</w:t>
      </w:r>
      <w:r>
        <w:rPr>
          <w:rFonts w:hint="eastAsia" w:ascii="仿宋_GB2312" w:hAnsi="仿宋_GB2312" w:eastAsia="仿宋_GB2312" w:cs="仿宋_GB2312"/>
          <w:color w:val="auto"/>
          <w:sz w:val="32"/>
          <w:szCs w:val="32"/>
          <w:u w:val="none"/>
          <w:lang w:val="en-US" w:eastAsia="zh-CN"/>
        </w:rPr>
        <w:t>范围具有集贸市场管理服务、商业综合体管理服务、广告设计、市场营销策划、会议及展览服务、餐饮管理等、食品销售等</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。（执行标准：提供有效的营业执照，满足以上项的其中一项即可）。</w:t>
      </w:r>
    </w:p>
    <w:p w14:paraId="5071906E">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firstLine="640" w:firstLineChars="200"/>
        <w:textAlignment w:val="auto"/>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2.参加本次项目前三年内，在经营活动中没有违法违规记录：提供参加项目前3年内在经营活动中没有重大违法记录的书面声明；</w:t>
      </w:r>
    </w:p>
    <w:p w14:paraId="0E8F9F35">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firstLine="640" w:firstLineChars="200"/>
        <w:textAlignment w:val="auto"/>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3.法律、行政法规规定的其他条件：①须承诺：在“信用中国”网站（www.creditchina.gov.cn）等渠道查询中未被列入失信被执行人名单、重大税收违法案件当事人名单。</w:t>
      </w:r>
    </w:p>
    <w:p w14:paraId="3FBAB7CB">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firstLine="640" w:firstLineChars="200"/>
        <w:textAlignment w:val="auto"/>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4.意向合作方承诺，成为最终意向合作方后，在后续的对外经营期间将全面承担租赁标的物业范围内的所有相关安全生产责任（如食品安全、人身安全、消防安全、生产安全等）。（执行标准：意向合作方出具承诺书）。</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br w:type="textWrapping"/>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 xml:space="preserve">    5</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.意向</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合作方</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承诺，无论</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意向合作方</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是否</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开展项目经营</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，均应按照</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合同</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约定向</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招商</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方足额支付合作费用</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（执行标准：意向</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意向合作方</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出具承诺书）。</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br w:type="textWrapping"/>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 xml:space="preserve">    6</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.意向</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合作方</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需现场踏勘，充分了解物业情况后（包括</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合作</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范围的</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现状</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电子设备、</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水电情况等）</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报</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名时</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需提交《现场踏勘</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认可现状</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确认书》。</w:t>
      </w:r>
    </w:p>
    <w:p w14:paraId="62883A91">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firstLine="640" w:firstLineChars="200"/>
        <w:textAlignment w:val="auto"/>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7.意向合作方承诺：愿意无条件配合招商方开展因演唱会项目延伸的集市活动，并根据每次活动出具策划、执行方案、并安排人员做好相关落地、招商实施等相关工作，确保大型演艺配套服务集市顺利落地，高质量举办承诺书。</w:t>
      </w:r>
    </w:p>
    <w:p w14:paraId="29BD6300">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firstLine="640" w:firstLineChars="200"/>
        <w:textAlignment w:val="auto"/>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8.</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本次不接受联合体报名。</w:t>
      </w:r>
    </w:p>
    <w:p w14:paraId="44DE4075">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left="0" w:leftChars="0" w:firstLine="640" w:firstLineChars="200"/>
        <w:textAlignment w:val="auto"/>
        <w:rPr>
          <w:rFonts w:hint="eastAsia" w:ascii="黑体" w:hAnsi="黑体" w:eastAsia="黑体" w:cs="黑体"/>
          <w:color w:val="000000" w:themeColor="text1"/>
          <w:sz w:val="32"/>
          <w:szCs w:val="32"/>
          <w:lang w:val="en-US" w:eastAsia="zh-CN"/>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七、其他招商要求</w:t>
      </w:r>
    </w:p>
    <w:p w14:paraId="675F6040">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firstLine="640" w:firstLineChars="200"/>
        <w:textAlignment w:val="auto"/>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1.意向合作方在租赁期间，必须遵守国家有关法律法规，合法经营，应当配合政府有关部门做好安全、消防、卫生、环保、价格管控等工作。</w:t>
      </w:r>
    </w:p>
    <w:p w14:paraId="4E3163FC">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firstLine="640" w:firstLineChars="200"/>
        <w:textAlignment w:val="auto"/>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2.意向合作方对于租赁物的使用需符合国家相关规定，意向合作方不得损坏租赁物及其所在建筑物的建筑结构，招商方有权对意向合作方进行监督、检查，并对出现的问题要求意向合作方立即整改。若意向合作方在使用中有违反本合同约定或损坏租赁物等情况，招商方有权从意向合作方所缴纳的保证金中扣除相应金额，用于赔偿招商方因此遭受的损失或支付租赁物的修复费用。若保证金不足以弥补招商方全部损失的，招商方有权就不足部分向意向合作方另行追偿。如因意向合作方装修不当造成安全事故的，一切责任由意向合作方承担。</w:t>
      </w:r>
    </w:p>
    <w:p w14:paraId="3740D422">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firstLine="640" w:firstLineChars="200"/>
        <w:textAlignment w:val="auto"/>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3.租赁期间，如因意向合作方由于管理或生产不当造成的招商方或第三方财产损失或人身伤害，其责任全部由意向合作方承担，若对出租物主体结构造成损坏的，应承担维修责任及费用。</w:t>
      </w:r>
    </w:p>
    <w:p w14:paraId="7379B3DF">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firstLine="640" w:firstLineChars="200"/>
        <w:textAlignment w:val="auto"/>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4.租赁期满后或非因招商方自身原因导致合同解除的，意向合作方对租赁物投入的全部装饰装修、设施、设备等均无偿归招商方所有，意向合作方不得以对租赁物的装饰装修为由向招商方提出任何装修补偿要求，意向合作方不得进行任何拆除装修、毁坏设施、设备的行为。</w:t>
      </w:r>
    </w:p>
    <w:p w14:paraId="32E74C0B">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firstLine="640" w:firstLineChars="200"/>
        <w:textAlignment w:val="auto"/>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5.如遇上级主管部门等原因需对合作物进行提升改造等不可抗力因素导致合作协议不能履行时，招商方不承担任何责任及经济补偿。</w:t>
      </w:r>
    </w:p>
    <w:p w14:paraId="7BEA377C">
      <w:pPr>
        <w:keepNext w:val="0"/>
        <w:keepLines w:val="0"/>
        <w:pageBreakBefore w:val="0"/>
        <w:widowControl w:val="0"/>
        <w:numPr>
          <w:ilvl w:val="0"/>
          <w:numId w:val="0"/>
        </w:numPr>
        <w:kinsoku/>
        <w:wordWrap/>
        <w:overflowPunct/>
        <w:topLinePunct w:val="0"/>
        <w:autoSpaceDE/>
        <w:autoSpaceDN/>
        <w:bidi w:val="0"/>
        <w:adjustRightInd/>
        <w:snapToGrid/>
        <w:spacing w:line="554" w:lineRule="exact"/>
        <w:ind w:firstLine="640" w:firstLineChars="200"/>
        <w:textAlignment w:val="auto"/>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6.意向合作方不得对标的进行转租（收取转让费）、转让、转借、分租、分包等行为。</w:t>
      </w:r>
    </w:p>
    <w:sectPr>
      <w:footerReference r:id="rId3" w:type="default"/>
      <w:pgSz w:w="11906" w:h="16838"/>
      <w:pgMar w:top="2098"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EAD4299-7F86-4594-8A01-D3A557511AB8}"/>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embedRegular r:id="rId2" w:fontKey="{2C75C792-29CB-4F64-8C31-E4796FF36576}"/>
  </w:font>
  <w:font w:name="仿宋_GB2312">
    <w:panose1 w:val="02010609030101010101"/>
    <w:charset w:val="86"/>
    <w:family w:val="auto"/>
    <w:pitch w:val="default"/>
    <w:sig w:usb0="00000001" w:usb1="080E0000" w:usb2="00000000" w:usb3="00000000" w:csb0="00040000" w:csb1="00000000"/>
    <w:embedRegular r:id="rId3" w:fontKey="{79E538A6-7538-4F15-BD40-7D5E61CE8584}"/>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60569">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3CB6AD">
                          <w:pPr>
                            <w:pStyle w:val="5"/>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63CB6AD">
                    <w:pPr>
                      <w:pStyle w:val="5"/>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BAB41DA"/>
    <w:multiLevelType w:val="singleLevel"/>
    <w:tmpl w:val="6BAB41D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3D4ABD"/>
    <w:rsid w:val="002235CA"/>
    <w:rsid w:val="00C46B71"/>
    <w:rsid w:val="017E2281"/>
    <w:rsid w:val="02257322"/>
    <w:rsid w:val="02A8425B"/>
    <w:rsid w:val="02DA018C"/>
    <w:rsid w:val="03404493"/>
    <w:rsid w:val="05D009E7"/>
    <w:rsid w:val="083A5872"/>
    <w:rsid w:val="09B45C5C"/>
    <w:rsid w:val="0B291CB1"/>
    <w:rsid w:val="0BD248ED"/>
    <w:rsid w:val="0D0A552D"/>
    <w:rsid w:val="0F380294"/>
    <w:rsid w:val="0F5D54C1"/>
    <w:rsid w:val="0FCA369F"/>
    <w:rsid w:val="112A457A"/>
    <w:rsid w:val="14C620B0"/>
    <w:rsid w:val="15C745A0"/>
    <w:rsid w:val="16ED36C3"/>
    <w:rsid w:val="18243F2C"/>
    <w:rsid w:val="18AB655E"/>
    <w:rsid w:val="1BB27AA1"/>
    <w:rsid w:val="1BC03388"/>
    <w:rsid w:val="1C2269D4"/>
    <w:rsid w:val="1C893E9E"/>
    <w:rsid w:val="1F104283"/>
    <w:rsid w:val="20C22534"/>
    <w:rsid w:val="2173382E"/>
    <w:rsid w:val="21E464DA"/>
    <w:rsid w:val="22160D89"/>
    <w:rsid w:val="22C66C80"/>
    <w:rsid w:val="23051E8C"/>
    <w:rsid w:val="230A068C"/>
    <w:rsid w:val="247D2432"/>
    <w:rsid w:val="25411C93"/>
    <w:rsid w:val="25FD5DBC"/>
    <w:rsid w:val="26226858"/>
    <w:rsid w:val="26914E82"/>
    <w:rsid w:val="284248F8"/>
    <w:rsid w:val="290A5904"/>
    <w:rsid w:val="2B65068C"/>
    <w:rsid w:val="2C5D064E"/>
    <w:rsid w:val="2C9E46B0"/>
    <w:rsid w:val="2CC5237B"/>
    <w:rsid w:val="2E206AEC"/>
    <w:rsid w:val="2E884DBD"/>
    <w:rsid w:val="30D065A7"/>
    <w:rsid w:val="30F5600E"/>
    <w:rsid w:val="3210344F"/>
    <w:rsid w:val="323E5792"/>
    <w:rsid w:val="349C211C"/>
    <w:rsid w:val="35842A85"/>
    <w:rsid w:val="37275D00"/>
    <w:rsid w:val="39680666"/>
    <w:rsid w:val="3A004ED7"/>
    <w:rsid w:val="3C214B5B"/>
    <w:rsid w:val="3E0778B8"/>
    <w:rsid w:val="3E560FE8"/>
    <w:rsid w:val="3F187408"/>
    <w:rsid w:val="41200E85"/>
    <w:rsid w:val="4304180E"/>
    <w:rsid w:val="441403C0"/>
    <w:rsid w:val="444718DB"/>
    <w:rsid w:val="44FC7513"/>
    <w:rsid w:val="461164EB"/>
    <w:rsid w:val="471759C9"/>
    <w:rsid w:val="47EF0BCF"/>
    <w:rsid w:val="48426179"/>
    <w:rsid w:val="48AD59FD"/>
    <w:rsid w:val="4A6E2C61"/>
    <w:rsid w:val="4A8F2A99"/>
    <w:rsid w:val="4D5325E2"/>
    <w:rsid w:val="4DF62510"/>
    <w:rsid w:val="4E166035"/>
    <w:rsid w:val="4E760336"/>
    <w:rsid w:val="4EEF052F"/>
    <w:rsid w:val="4F2A2171"/>
    <w:rsid w:val="510A3162"/>
    <w:rsid w:val="539068CD"/>
    <w:rsid w:val="554045B7"/>
    <w:rsid w:val="568F626A"/>
    <w:rsid w:val="56963547"/>
    <w:rsid w:val="56CB2C77"/>
    <w:rsid w:val="5822508B"/>
    <w:rsid w:val="583C018B"/>
    <w:rsid w:val="597B2CA5"/>
    <w:rsid w:val="5BB07DD8"/>
    <w:rsid w:val="5BD42B40"/>
    <w:rsid w:val="607E12CC"/>
    <w:rsid w:val="61640C4B"/>
    <w:rsid w:val="643D4ABD"/>
    <w:rsid w:val="6B623CC4"/>
    <w:rsid w:val="6C356006"/>
    <w:rsid w:val="6CD428E8"/>
    <w:rsid w:val="6D391332"/>
    <w:rsid w:val="71904FB5"/>
    <w:rsid w:val="726447C6"/>
    <w:rsid w:val="75D83821"/>
    <w:rsid w:val="761E764F"/>
    <w:rsid w:val="76D31F1A"/>
    <w:rsid w:val="77A02E51"/>
    <w:rsid w:val="78D72626"/>
    <w:rsid w:val="7A1E525A"/>
    <w:rsid w:val="7B3C003F"/>
    <w:rsid w:val="7BF10B5B"/>
    <w:rsid w:val="7C5667B1"/>
    <w:rsid w:val="7C7C27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Normal Indent"/>
    <w:basedOn w:val="1"/>
    <w:next w:val="1"/>
    <w:qFormat/>
    <w:uiPriority w:val="0"/>
    <w:rPr>
      <w:sz w:val="28"/>
    </w:r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2396</Words>
  <Characters>2449</Characters>
  <Lines>0</Lines>
  <Paragraphs>0</Paragraphs>
  <TotalTime>19</TotalTime>
  <ScaleCrop>false</ScaleCrop>
  <LinksUpToDate>false</LinksUpToDate>
  <CharactersWithSpaces>2465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2025-02-26T01:20:00Z</dcterms:created>
  <dc:creator>cj</dc:creator>
  <cp:lastModifiedBy>All life터부</cp:lastModifiedBy>
  <cp:lastPrinted>2026-06-02T10:47:00Z</cp:lastPrinted>
  <dcterms:modified xsi:type="dcterms:W3CDTF">2026-06-15T05:38:58Z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866D1235E244409591DF26B386E1453E_13</vt:lpwstr>
  </property>
  <property fmtid="{D5CDD505-2E9C-101B-9397-08002B2CF9AE}" pid="4" name="KSOTemplateDocerSaveRecord">
    <vt:lpwstr>eyJoZGlkIjoiNjNmMTEyZTNmNmM3YzBlMTUwZmNkYzRlMzgwZjRhNWEiLCJ1c2VySWQiOiIyNjgzNzE1NzQifQ==</vt:lpwstr>
  </property>
</Properties>
</file>