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jc w:val="center"/>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rPr>
          <w:rFonts w:hint="eastAsia"/>
        </w:rPr>
      </w:pPr>
    </w:p>
    <w:p w14:paraId="76D60B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3AD979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本意向受让方（以下简称“我方”）就参与贵所组织的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），郑重作出如下承诺：</w:t>
      </w:r>
    </w:p>
    <w:p w14:paraId="6814CC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一、材料真实性承诺</w:t>
      </w:r>
    </w:p>
    <w:p w14:paraId="3A2B8C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p>
    <w:p w14:paraId="50FD62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B3BB5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w:t>
      </w:r>
      <w:r>
        <w:rPr>
          <w:rFonts w:hint="eastAsia" w:ascii="仿宋" w:hAnsi="仿宋" w:eastAsia="仿宋" w:cs="仿宋"/>
          <w:sz w:val="28"/>
          <w:szCs w:val="28"/>
          <w:lang w:val="en-US" w:eastAsia="zh-CN"/>
        </w:rPr>
        <w:t>行为。</w:t>
      </w:r>
    </w:p>
    <w:p w14:paraId="22C417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bookmarkStart w:id="0" w:name="_GoBack"/>
      <w:bookmarkEnd w:id="0"/>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5BE11191">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（以下无正文）</w:t>
      </w:r>
    </w:p>
    <w:p w14:paraId="7BFC2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2ED2E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3D5C5482"/>
    <w:rsid w:val="4E43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龙红艳律师18785014624จุ๊บ</cp:lastModifiedBy>
  <dcterms:modified xsi:type="dcterms:W3CDTF">2025-06-03T07:54:05Z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102D279CBD734E489E6B98DBC22658F2_11</vt:lpwstr>
  </property>
  <property fmtid="{D5CDD505-2E9C-101B-9397-08002B2CF9AE}" pid="4" name="KSOTemplateDocerSaveRecord">
    <vt:lpwstr>eyJoZGlkIjoiYjI1NTIyZGQ2MzE5MmEzZTQwYjVlMDQzYjYyYTQ0MzEiLCJ1c2VySWQiOiI1MjI1NDE4MTcifQ==</vt:lpwstr>
  </property>
</Properties>
</file>