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9AEB69">
      <w:pPr>
        <w:pStyle w:val="2"/>
        <w:keepNext/>
        <w:keepLines/>
        <w:pageBreakBefore w:val="0"/>
        <w:widowControl w:val="0"/>
        <w:kinsoku/>
        <w:wordWrap/>
        <w:overflowPunct/>
        <w:topLinePunct w:val="0"/>
        <w:autoSpaceDE/>
        <w:autoSpaceDN/>
        <w:bidi w:val="0"/>
        <w:adjustRightInd/>
        <w:snapToGrid/>
        <w:spacing w:before="0" w:after="0" w:line="680" w:lineRule="exact"/>
        <w:jc w:val="center"/>
        <w:textAlignment w:val="auto"/>
        <w:rPr>
          <w:rFonts w:hint="eastAsia" w:ascii="方正小标宋简体" w:hAnsi="方正小标宋简体" w:eastAsia="方正小标宋简体" w:cs="方正小标宋简体"/>
          <w:b w:val="0"/>
          <w:bCs/>
          <w:sz w:val="44"/>
          <w:szCs w:val="44"/>
          <w:lang w:val="en-US" w:eastAsia="zh-CN"/>
        </w:rPr>
      </w:pPr>
      <w:r>
        <w:rPr>
          <w:rFonts w:hint="eastAsia" w:ascii="方正小标宋简体" w:hAnsi="方正小标宋简体" w:eastAsia="方正小标宋简体" w:cs="方正小标宋简体"/>
          <w:sz w:val="44"/>
          <w:szCs w:val="44"/>
          <w:lang w:val="en-US" w:eastAsia="zh-CN"/>
        </w:rPr>
        <w:t>贵阳奥体中心演唱会二销业态招商</w:t>
      </w:r>
      <w:r>
        <w:rPr>
          <w:rFonts w:hint="eastAsia" w:ascii="方正小标宋简体" w:hAnsi="方正小标宋简体" w:eastAsia="方正小标宋简体" w:cs="方正小标宋简体"/>
          <w:b w:val="0"/>
          <w:bCs/>
          <w:sz w:val="44"/>
          <w:szCs w:val="44"/>
          <w:lang w:val="en-US" w:eastAsia="zh-CN"/>
        </w:rPr>
        <w:t>方案</w:t>
      </w:r>
    </w:p>
    <w:p w14:paraId="366DEDE1">
      <w:pPr>
        <w:pageBreakBefore w:val="0"/>
        <w:widowControl w:val="0"/>
        <w:kinsoku/>
        <w:wordWrap/>
        <w:overflowPunct/>
        <w:topLinePunct w:val="0"/>
        <w:autoSpaceDE/>
        <w:autoSpaceDN/>
        <w:bidi w:val="0"/>
        <w:adjustRightInd/>
        <w:snapToGrid/>
        <w:spacing w:line="680" w:lineRule="exact"/>
        <w:textAlignment w:val="auto"/>
        <w:rPr>
          <w:rFonts w:hint="eastAsia"/>
          <w:sz w:val="44"/>
          <w:szCs w:val="44"/>
          <w:lang w:val="en-US" w:eastAsia="zh-CN"/>
        </w:rPr>
      </w:pPr>
    </w:p>
    <w:p w14:paraId="3540F86B">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资产概况</w:t>
      </w:r>
    </w:p>
    <w:p w14:paraId="0D39E66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贵阳奥林匹克体育中心一期（以下简称"贵阳奥体中心一期"）二销业态项目，位于贵阳市观山湖区云潭南路。其中二楼设有10间商铺店面，内场设有2个帐篷点位商铺，给大型演唱会观演消费者提供吃喝玩乐的二销服务。</w:t>
      </w:r>
    </w:p>
    <w:p w14:paraId="497D6917">
      <w:pPr>
        <w:keepNext w:val="0"/>
        <w:keepLines w:val="0"/>
        <w:pageBreakBefore w:val="0"/>
        <w:widowControl w:val="0"/>
        <w:numPr>
          <w:ilvl w:val="0"/>
          <w:numId w:val="1"/>
        </w:numPr>
        <w:kinsoku/>
        <w:wordWrap/>
        <w:overflowPunct/>
        <w:topLinePunct w:val="0"/>
        <w:autoSpaceDE/>
        <w:autoSpaceDN/>
        <w:bidi w:val="0"/>
        <w:adjustRightInd/>
        <w:snapToGrid/>
        <w:spacing w:line="554" w:lineRule="exact"/>
        <w:ind w:left="0" w:leftChars="0" w:firstLine="640" w:firstLineChars="200"/>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合作模式</w:t>
      </w:r>
    </w:p>
    <w:p w14:paraId="238F5A9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（一）</w:t>
      </w:r>
      <w:r>
        <w:rPr>
          <w:rFonts w:hint="eastAsia" w:ascii="仿宋_GB2312" w:hAnsi="仿宋_GB2312" w:eastAsia="仿宋_GB2312" w:cs="仿宋_GB2312"/>
          <w:color w:val="auto"/>
          <w:sz w:val="32"/>
          <w:szCs w:val="32"/>
          <w:u w:val="none"/>
          <w:lang w:val="en-US" w:eastAsia="zh-CN"/>
        </w:rPr>
        <w:t>合作期：</w:t>
      </w:r>
      <w:r>
        <w:rPr>
          <w:rFonts w:hint="eastAsia" w:ascii="仿宋_GB2312" w:hAnsi="仿宋_GB2312" w:eastAsia="仿宋_GB2312" w:cs="仿宋_GB2312"/>
          <w:color w:val="FF0000"/>
          <w:sz w:val="32"/>
          <w:szCs w:val="32"/>
          <w:u w:val="none"/>
          <w:lang w:val="en-US" w:eastAsia="zh-CN"/>
        </w:rPr>
        <w:t>19场演唱会（1天/场），</w:t>
      </w:r>
      <w:r>
        <w:rPr>
          <w:rFonts w:hint="eastAsia" w:ascii="仿宋_GB2312" w:hAnsi="仿宋_GB2312" w:eastAsia="仿宋_GB2312" w:cs="仿宋_GB2312"/>
          <w:color w:val="auto"/>
          <w:sz w:val="32"/>
          <w:szCs w:val="32"/>
          <w:u w:val="none"/>
          <w:lang w:val="en-US" w:eastAsia="zh-CN"/>
        </w:rPr>
        <w:t>从合同签订之日起计算</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合作</w:t>
      </w:r>
      <w:r>
        <w:rPr>
          <w:rFonts w:hint="eastAsia" w:ascii="仿宋_GB2312" w:hAnsi="仿宋_GB2312" w:eastAsia="仿宋_GB2312" w:cs="仿宋_GB2312"/>
          <w:color w:val="auto"/>
          <w:sz w:val="32"/>
          <w:szCs w:val="32"/>
          <w:u w:val="none"/>
          <w:lang w:val="en-US" w:eastAsia="zh-CN"/>
        </w:rPr>
        <w:t>期。</w:t>
      </w:r>
    </w:p>
    <w:p w14:paraId="7F9E9E5D">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（二）项目改造投资标准</w:t>
      </w:r>
    </w:p>
    <w:p w14:paraId="6382E73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招商方负责对本项目实施改造提升，并确保点位硬件装修完善。</w:t>
      </w:r>
    </w:p>
    <w:p w14:paraId="2232E8A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sz w:val="32"/>
          <w:szCs w:val="32"/>
          <w:u w:val="none"/>
          <w:lang w:val="en-US" w:eastAsia="zh-CN"/>
        </w:rPr>
      </w:pPr>
      <w:r>
        <w:rPr>
          <w:rFonts w:hint="eastAsia" w:ascii="仿宋_GB2312" w:hAnsi="仿宋_GB2312" w:eastAsia="仿宋_GB2312" w:cs="仿宋_GB2312"/>
          <w:color w:val="auto"/>
          <w:sz w:val="32"/>
          <w:szCs w:val="32"/>
          <w:u w:val="none"/>
          <w:lang w:val="en-US" w:eastAsia="zh-CN"/>
        </w:rPr>
        <w:t>（三）</w:t>
      </w:r>
      <w:r>
        <w:rPr>
          <w:rFonts w:hint="eastAsia" w:ascii="仿宋_GB2312" w:hAnsi="仿宋_GB2312" w:eastAsia="仿宋_GB2312" w:cs="仿宋_GB2312"/>
          <w:color w:val="auto"/>
          <w:sz w:val="32"/>
          <w:szCs w:val="32"/>
          <w:lang w:val="en-US" w:eastAsia="zh-CN"/>
        </w:rPr>
        <w:t>合作要求：在我司场馆举办的19场（天）演唱会期间，拟将贵阳奥体中心二楼店铺及内场共计十个点位作为二销经营场地，意向合作方开展二销业态经营。双方按场次进行结算，我司在每场活动意向合作方开展的二销经营营收中抽取10%的抽成后，剩余返款给意向合作方。意向合作方在19场演出开展二销经营业态给予我司的利润不得低于68万元，需缴纳履约保证金10万元。且需具备强商业运营管理能力、掌握丰富全业态品牌资源（涵盖文创、餐饮、精酿、咖啡、商场等品牌商家不低于30家）需提供印证资料，并具备活动策划与执行能力（需提供案例），同时需对活动开展现场的安全问题（包括但不限于食品安全、生产安全、消防安全等）负责，注册资本金不得低于100万（含100万）。</w:t>
      </w:r>
    </w:p>
    <w:p w14:paraId="6E70C4B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firstLine="640" w:firstLineChars="200"/>
        <w:textAlignment w:val="auto"/>
        <w:rPr>
          <w:rFonts w:hint="eastAsia" w:ascii="仿宋_GB2312" w:hAnsi="仿宋_GB2312" w:eastAsia="仿宋_GB2312" w:cs="仿宋_GB2312"/>
          <w:b/>
          <w:bCs/>
          <w:color w:val="auto"/>
          <w:sz w:val="32"/>
          <w:szCs w:val="32"/>
          <w:lang w:val="en-US" w:eastAsia="zh-CN"/>
        </w:rPr>
      </w:pPr>
      <w:r>
        <w:rPr>
          <w:rFonts w:hint="eastAsia" w:ascii="黑体" w:hAnsi="黑体" w:eastAsia="黑体" w:cs="黑体"/>
          <w:b w:val="0"/>
          <w:bCs w:val="0"/>
          <w:color w:val="auto"/>
          <w:sz w:val="32"/>
          <w:szCs w:val="32"/>
          <w:lang w:val="en-US" w:eastAsia="zh-CN"/>
        </w:rPr>
        <w:t>三、缴款方式</w:t>
      </w:r>
    </w:p>
    <w:p w14:paraId="19DF2F1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firstLine="643"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b/>
          <w:bCs/>
          <w:color w:val="auto"/>
          <w:sz w:val="32"/>
          <w:szCs w:val="32"/>
          <w:lang w:val="en-US" w:eastAsia="zh-CN"/>
        </w:rPr>
        <w:t>（一）保证金：</w:t>
      </w:r>
      <w:r>
        <w:rPr>
          <w:rFonts w:hint="eastAsia" w:ascii="仿宋_GB2312" w:hAnsi="仿宋_GB2312" w:eastAsia="仿宋_GB2312" w:cs="仿宋_GB2312"/>
          <w:sz w:val="32"/>
          <w:szCs w:val="32"/>
          <w:u w:val="none"/>
          <w:lang w:val="en-US" w:eastAsia="zh-CN"/>
        </w:rPr>
        <w:t>先付后用，合同签订后支付。</w:t>
      </w:r>
    </w:p>
    <w:p w14:paraId="00EF62B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firstLine="643"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bCs/>
          <w:color w:val="auto"/>
          <w:sz w:val="32"/>
          <w:szCs w:val="32"/>
          <w:lang w:val="en-US" w:eastAsia="zh-CN"/>
        </w:rPr>
        <w:t>（二）收益：</w:t>
      </w:r>
      <w:r>
        <w:rPr>
          <w:rFonts w:hint="eastAsia" w:ascii="仿宋_GB2312" w:hAnsi="仿宋_GB2312" w:eastAsia="仿宋_GB2312" w:cs="仿宋_GB2312"/>
          <w:b w:val="0"/>
          <w:bCs w:val="0"/>
          <w:color w:val="auto"/>
          <w:sz w:val="32"/>
          <w:szCs w:val="32"/>
          <w:lang w:val="en-US" w:eastAsia="zh-CN"/>
        </w:rPr>
        <w:t>双方以活动场次为核算周期，按场次营收据实支付收益分成。全年营收抽成利润不足68万元的，需在合作期结束前补齐。</w:t>
      </w:r>
    </w:p>
    <w:p w14:paraId="1D4BF13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四、装修及履约保证金</w:t>
      </w:r>
    </w:p>
    <w:p w14:paraId="05C2514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sz w:val="32"/>
          <w:szCs w:val="32"/>
          <w:u w:val="none"/>
          <w:lang w:val="en-US" w:eastAsia="zh-CN"/>
        </w:rPr>
        <w:t>（一）日常履约保证金：</w:t>
      </w:r>
      <w:r>
        <w:rPr>
          <w:rFonts w:hint="eastAsia" w:ascii="仿宋_GB2312" w:hAnsi="仿宋_GB2312" w:eastAsia="仿宋_GB2312" w:cs="仿宋_GB2312"/>
          <w:color w:val="auto"/>
          <w:sz w:val="32"/>
          <w:szCs w:val="32"/>
          <w:u w:val="none"/>
          <w:lang w:val="en-US" w:eastAsia="zh-CN"/>
        </w:rPr>
        <w:t>10万元</w:t>
      </w:r>
    </w:p>
    <w:p w14:paraId="2AFA50B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履约保证金的用途包括但不限于：弥补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因拖欠</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合作费用</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、违约金、损害租赁物及附属设施、擅自解除合同等违约行为给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方造成的损失；抵扣</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应承担的未结清费用。</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期满或合同依法解除后，若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无任何违约行为、已结清全部应付费用（包括</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合作费用</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、维修费等），且完好交还租赁物及附属设施，</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方在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完成搬离并办理完毕交接手续后的15个工作日内，将日常履约保证金全额无息退还给</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存在违约行为，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方有权从该履约保证金中直接扣除相应金额弥补损失；若日常履约保证金不足以覆盖全部损失，</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方有权就不足部分向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另行追偿。</w:t>
      </w:r>
    </w:p>
    <w:p w14:paraId="2A547739">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五、意向合作方引入模式</w:t>
      </w:r>
    </w:p>
    <w:p w14:paraId="6D754E32">
      <w:pPr>
        <w:pStyle w:val="3"/>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委托贵州阳光产权交易所有限公司采用公开征集方式组织遴选工作；若只征集到1个意向合作方时，由贵州阳光产权交易所有限公司组织双方按挂牌条件直接签订合同；若征集到2个及2个以上意向意向合作方时，则采用综合评议法进行评议。综合评议法，是指在满足</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instrText xml:space="preserve"> HYPERLINK "http://www.baidu.com/s?wd=%E6%8B%9B%E6%A0%87%E6%96%87%E4%BB%B6&amp;hl_tag=textlink&amp;tn=SE_hldp01350_v6v6zkg6" \t "_blank" </w:instrTex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遴选文件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实质性要求的前提下，评议小组按照</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begin"/>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instrText xml:space="preserve"> HYPERLINK "http://www.baidu.com/s?wd=%E6%8B%9B%E6%A0%87%E6%96%87%E4%BB%B6&amp;hl_tag=textlink&amp;tn=SE_hldp01350_v6v6zkg6" \t "_blank" </w:instrTex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separate"/>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采购文件</w:t>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fldChar w:fldCharType="end"/>
      </w:r>
      <w:r>
        <w:rPr>
          <w:rFonts w:hint="eastAsia" w:ascii="仿宋_GB2312" w:hAnsi="仿宋_GB2312" w:eastAsia="仿宋_GB2312" w:cs="仿宋_GB2312"/>
          <w:b w:val="0"/>
          <w:bCs w:val="0"/>
          <w:color w:val="000000" w:themeColor="text1"/>
          <w:sz w:val="32"/>
          <w:szCs w:val="32"/>
          <w:highlight w:val="none"/>
          <w:lang w:val="en-US" w:eastAsia="zh-CN"/>
          <w14:textFill>
            <w14:solidFill>
              <w14:schemeClr w14:val="tx1"/>
            </w14:solidFill>
          </w14:textFill>
        </w:rPr>
        <w:t>中规定的各项评审因素及其分值进行综合评议后，以评议从高到低的顺序推荐1家作为意向意向合作方。评议的主要因素分为价格因素、技术因素（如服务内容、服务质量、服务承诺等）和商务因素（如资质、信誉、服务期、质保期等）。评议因素详见综合评分表。评议分值保留至两位小数。评议时，评议小组依照综合评分表对每个有效意向合作方的遴选文件进行独立评议、打分。</w:t>
      </w:r>
    </w:p>
    <w:p w14:paraId="03637A3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textAlignment w:val="auto"/>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六、意向意向合作方条件</w:t>
      </w:r>
    </w:p>
    <w:p w14:paraId="761D055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1.意向合作方必须是在</w:t>
      </w:r>
      <w:r>
        <w:rPr>
          <w:rFonts w:hint="eastAsia" w:ascii="仿宋_GB2312" w:hAnsi="仿宋_GB2312" w:eastAsia="仿宋_GB2312" w:cs="仿宋_GB2312"/>
          <w:b w:val="0"/>
          <w:bCs w:val="0"/>
          <w:color w:val="000000" w:themeColor="text1"/>
          <w:kern w:val="2"/>
          <w:sz w:val="32"/>
          <w:szCs w:val="32"/>
          <w:highlight w:val="none"/>
          <w:lang w:val="en-US" w:eastAsia="zh-CN" w:bidi="ar-SA"/>
          <w14:textFill>
            <w14:solidFill>
              <w14:schemeClr w14:val="tx1"/>
            </w14:solidFill>
          </w14:textFill>
        </w:rPr>
        <w:t>国内注册的独立企业法人，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且经营</w:t>
      </w:r>
      <w:r>
        <w:rPr>
          <w:rFonts w:hint="eastAsia" w:ascii="仿宋_GB2312" w:hAnsi="仿宋_GB2312" w:eastAsia="仿宋_GB2312" w:cs="仿宋_GB2312"/>
          <w:color w:val="auto"/>
          <w:sz w:val="32"/>
          <w:szCs w:val="32"/>
          <w:u w:val="none"/>
          <w:lang w:val="en-US" w:eastAsia="zh-CN"/>
        </w:rPr>
        <w:t>范围具有集贸市场管理服务、商业综合体管理服务、广告设计、市场营销策划、会议及展览服务、餐饮管理等、食品销售等</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。（执行标准：提供有效的营业执照）。</w:t>
      </w:r>
    </w:p>
    <w:p w14:paraId="5071906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2.参加本次项目前三年内，在经营活动中没有违法违规记录：提供参加项目前3年内在经营活动中没有重大违法记录的书面声明；</w:t>
      </w:r>
    </w:p>
    <w:p w14:paraId="0E8F9F3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3.法律、行政法规规定的其他条件：①须承诺：在“信用中国”网站（www.creditchina.gov.cn）等渠道查询中未被列入失信被执行人名单、重大税收违法案件当事人名单。</w:t>
      </w:r>
    </w:p>
    <w:p w14:paraId="3CDFC166">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bookmarkStart w:id="0" w:name="_GoBack"/>
      <w:bookmarkEnd w:id="0"/>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意向合作方承诺，成为最终意向合作方后，在后续的对外经营期间将全面承担租赁标的物业范围内的所有相关安全生产责任（如食品安全、人身安全、消防安全、生产安全等）。（执行标准：意向意向合作方出具承诺书）。</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5</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.意向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承诺，无论</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是否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开展项目经营</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，均应按照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合同</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约定向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方足额支付合作费用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（执行标准：意向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出具承诺书）。</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6</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意向合作方需拥有大型商场运营经验并具有丰富的全业态资源品牌储备，包含但不限于咖啡、精酿、美食、文创、旅居等品牌商家不少于30家（需提供品牌商家的相关合作印证材料）；拥有广告设计展会策划能力，以及其他产业资源，包括但不限于商会、科技、汽车、银行、酒业等品牌资源（1-2家）。且提供印证资料为真实资料的承诺书，意向合作方应对相关证明文件的真实性负责，不得提供虚假材料谋取成交。否则必须承担相应法律责任，已骗取成交的取消成交资格，对招商方造成损失的，赔偿相应全部损失；</w:t>
      </w:r>
    </w:p>
    <w:p w14:paraId="4824AADE">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highlight w:val="none"/>
          <w:u w:val="none"/>
          <w:lang w:val="en-US" w:eastAsia="zh-CN"/>
          <w14:textFill>
            <w14:solidFill>
              <w14:schemeClr w14:val="tx1"/>
            </w14:solidFill>
          </w14:textFill>
        </w:rPr>
        <w:t>7.意向合作方需根据全年开展的二销活动出具整体的二销业态策划方案，包括但不限于活动现场美陈、业态、服务提质、票根经济联动、广告设计宣发等。</w:t>
      </w:r>
    </w:p>
    <w:p w14:paraId="7657AAAA">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8</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.意向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合作方承诺，</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愿意且有能力</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提供点位</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的氛围设计、物资物料等，演唱会期间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意向合租方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均需做好演出氛围营造，相关方案需提前报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招商方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书面同意后方可实施。（执行标准：意向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意向合作方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出具承诺书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，提供</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项目初步设计方案及投资概算）。</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br w:type="textWrapping"/>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 xml:space="preserve">    9</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.意向</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合作方</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需现场踏勘，充分了解物业情况后（包括</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合作</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范围的</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现状</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电子设备、</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水电情况等）</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报</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名时</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需提交《现场踏勘</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认可现状</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确认书》。</w:t>
      </w:r>
    </w:p>
    <w:p w14:paraId="62883A91">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10.意向合作方承诺：愿意无条件配合招商方开展因演唱会项目延伸的集市活动，并根据每次活动出具策划、执行方案、落地实施等相关工作，确保大型演艺配套服务集市顺利落地，高质量举办承诺书。</w:t>
      </w:r>
    </w:p>
    <w:p w14:paraId="29BD630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11.</w:t>
      </w:r>
      <w:r>
        <w:rPr>
          <w:rFonts w:hint="default" w:ascii="仿宋_GB2312" w:hAnsi="仿宋_GB2312" w:eastAsia="仿宋_GB2312" w:cs="仿宋_GB2312"/>
          <w:color w:val="000000" w:themeColor="text1"/>
          <w:sz w:val="32"/>
          <w:szCs w:val="32"/>
          <w:u w:val="none"/>
          <w:lang w:val="en-US" w:eastAsia="zh-CN"/>
          <w14:textFill>
            <w14:solidFill>
              <w14:schemeClr w14:val="tx1"/>
            </w14:solidFill>
          </w14:textFill>
        </w:rPr>
        <w:t>本次不接受联合体报名。</w:t>
      </w:r>
    </w:p>
    <w:p w14:paraId="44DE4075">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left="0" w:leftChars="0"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七、其他招商要求</w:t>
      </w:r>
    </w:p>
    <w:p w14:paraId="675F6040">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1.意向合作方在租赁期间，必须遵守国家有关法律法规，合法经营，应当配合政府有关部门做好安全、消防、卫生、环保、价格管控等工作。</w:t>
      </w:r>
    </w:p>
    <w:p w14:paraId="4E3163F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意向合作方对于租赁物的使用需符合国家相关规定，意向合作方不得损坏租赁物及其所在建筑物的建筑结构，招商方有权对意向合作方进行监督、检查，并对出现的问题要求意向合作方立即整改。若意向合作方在使用中有违反本合同约定或损坏租赁物等情况，招商方有权从意向合作方所缴纳的保证金中扣除相应金额，用于赔偿招商方因此遭受的损失或支付租赁物的修复费用。若保证金不足以弥补招商方全部损失的，招商方有权就不足部分向意向合作方另行追偿。如因意向合作方装修不当造成安全事故的，一切责任由意向合作方承担。</w:t>
      </w:r>
    </w:p>
    <w:p w14:paraId="3740D422">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3.租赁期间，如因意向合作方由于管理或生产不当造成的招商方或第三方财产损失或人身伤害，其责任全部由意向合作方承担，若对出租物主体结构造成损坏的，应承担维修责任及费用。</w:t>
      </w:r>
    </w:p>
    <w:p w14:paraId="7379B3DF">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租赁期满后或非因招商方自身原因导致合同解除的，意向合作方对租赁物投入的全部装饰装修、设施、设备等均无偿归招商方所有，意向合作方不得以对租赁物的装饰装修为由向招商方提出任何装修补偿要求，意向合作方不得进行任何拆除装修、毁坏设施、设备的行为。</w:t>
      </w:r>
    </w:p>
    <w:p w14:paraId="32E74C0B">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5.如遇上级主管部门等原因需对合作物进行提升改造等不可抗力因素导致合作协议不能履行时，招商方不承担任何责任及经济补偿。</w:t>
      </w:r>
    </w:p>
    <w:p w14:paraId="7BEA377C">
      <w:pPr>
        <w:keepNext w:val="0"/>
        <w:keepLines w:val="0"/>
        <w:pageBreakBefore w:val="0"/>
        <w:widowControl w:val="0"/>
        <w:numPr>
          <w:ilvl w:val="0"/>
          <w:numId w:val="0"/>
        </w:numPr>
        <w:kinsoku/>
        <w:wordWrap/>
        <w:overflowPunct/>
        <w:topLinePunct w:val="0"/>
        <w:autoSpaceDE/>
        <w:autoSpaceDN/>
        <w:bidi w:val="0"/>
        <w:adjustRightInd/>
        <w:snapToGrid/>
        <w:spacing w:line="554"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6.意向合作方不得对标的进行转租（收取转让费）、转让、转借、分租、分包等行为。</w:t>
      </w:r>
    </w:p>
    <w:sectPr>
      <w:footerReference r:id="rId3" w:type="default"/>
      <w:pgSz w:w="11906" w:h="16838"/>
      <w:pgMar w:top="2098" w:right="1531" w:bottom="198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4E52A77-D727-43B7-A469-B91482AB8725}"/>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embedRegular r:id="rId2" w:fontKey="{ACF06674-B86F-4E0F-97B2-491C856496D0}"/>
  </w:font>
  <w:font w:name="仿宋_GB2312">
    <w:panose1 w:val="02010609030101010101"/>
    <w:charset w:val="86"/>
    <w:family w:val="auto"/>
    <w:pitch w:val="default"/>
    <w:sig w:usb0="00000001" w:usb1="080E0000" w:usb2="00000000" w:usb3="00000000" w:csb0="00040000" w:csb1="00000000"/>
    <w:embedRegular r:id="rId3" w:fontKey="{3E872F02-3FE7-4741-9FE1-2914FDC35D64}"/>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60569">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3CB6A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63CB6AD">
                    <w:pPr>
                      <w:pStyle w:val="5"/>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BAB41DA"/>
    <w:multiLevelType w:val="singleLevel"/>
    <w:tmpl w:val="6BAB41D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revisionView w:markup="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3D4ABD"/>
    <w:rsid w:val="002235CA"/>
    <w:rsid w:val="00C46B71"/>
    <w:rsid w:val="017E2281"/>
    <w:rsid w:val="02257322"/>
    <w:rsid w:val="02A8425B"/>
    <w:rsid w:val="02DA018C"/>
    <w:rsid w:val="03404493"/>
    <w:rsid w:val="05D009E7"/>
    <w:rsid w:val="083A5872"/>
    <w:rsid w:val="09B45C5C"/>
    <w:rsid w:val="0B291CB1"/>
    <w:rsid w:val="0D0A552D"/>
    <w:rsid w:val="0F380294"/>
    <w:rsid w:val="0F5D54C1"/>
    <w:rsid w:val="0FCA369F"/>
    <w:rsid w:val="112A457A"/>
    <w:rsid w:val="15C745A0"/>
    <w:rsid w:val="16ED36C3"/>
    <w:rsid w:val="18243F2C"/>
    <w:rsid w:val="18AB655E"/>
    <w:rsid w:val="1BB27AA1"/>
    <w:rsid w:val="1BC03388"/>
    <w:rsid w:val="1C2269D4"/>
    <w:rsid w:val="1C893E9E"/>
    <w:rsid w:val="1F104283"/>
    <w:rsid w:val="20C22534"/>
    <w:rsid w:val="2173382E"/>
    <w:rsid w:val="21E464DA"/>
    <w:rsid w:val="22160D89"/>
    <w:rsid w:val="22C66C80"/>
    <w:rsid w:val="23051E8C"/>
    <w:rsid w:val="230A068C"/>
    <w:rsid w:val="247D2432"/>
    <w:rsid w:val="25411C93"/>
    <w:rsid w:val="25FD5DBC"/>
    <w:rsid w:val="26914E82"/>
    <w:rsid w:val="284248F8"/>
    <w:rsid w:val="290A5904"/>
    <w:rsid w:val="2B65068C"/>
    <w:rsid w:val="2C5D064E"/>
    <w:rsid w:val="2C9E46B0"/>
    <w:rsid w:val="2CC5237B"/>
    <w:rsid w:val="2E206AEC"/>
    <w:rsid w:val="2E884DBD"/>
    <w:rsid w:val="30D065A7"/>
    <w:rsid w:val="30F5600E"/>
    <w:rsid w:val="3210344F"/>
    <w:rsid w:val="323E5792"/>
    <w:rsid w:val="349C211C"/>
    <w:rsid w:val="35842A85"/>
    <w:rsid w:val="37275D00"/>
    <w:rsid w:val="39680666"/>
    <w:rsid w:val="3A004ED7"/>
    <w:rsid w:val="3C214B5B"/>
    <w:rsid w:val="3E0778B8"/>
    <w:rsid w:val="3E560FE8"/>
    <w:rsid w:val="41200E85"/>
    <w:rsid w:val="441403C0"/>
    <w:rsid w:val="444718DB"/>
    <w:rsid w:val="44FC7513"/>
    <w:rsid w:val="461164EB"/>
    <w:rsid w:val="471759C9"/>
    <w:rsid w:val="47EF0BCF"/>
    <w:rsid w:val="48426179"/>
    <w:rsid w:val="48AD59FD"/>
    <w:rsid w:val="4A6E2C61"/>
    <w:rsid w:val="4A8F2A99"/>
    <w:rsid w:val="4D5325E2"/>
    <w:rsid w:val="4DF62510"/>
    <w:rsid w:val="4E166035"/>
    <w:rsid w:val="4E760336"/>
    <w:rsid w:val="4EEF052F"/>
    <w:rsid w:val="4F2A2171"/>
    <w:rsid w:val="510A3162"/>
    <w:rsid w:val="539068CD"/>
    <w:rsid w:val="554045B7"/>
    <w:rsid w:val="568F626A"/>
    <w:rsid w:val="56963547"/>
    <w:rsid w:val="56CB2C77"/>
    <w:rsid w:val="5822508B"/>
    <w:rsid w:val="583C018B"/>
    <w:rsid w:val="597B2CA5"/>
    <w:rsid w:val="5BB07DD8"/>
    <w:rsid w:val="5BD42B40"/>
    <w:rsid w:val="607E12CC"/>
    <w:rsid w:val="61640C4B"/>
    <w:rsid w:val="643D4ABD"/>
    <w:rsid w:val="6B623CC4"/>
    <w:rsid w:val="6C356006"/>
    <w:rsid w:val="6CD428E8"/>
    <w:rsid w:val="6D391332"/>
    <w:rsid w:val="71904FB5"/>
    <w:rsid w:val="726447C6"/>
    <w:rsid w:val="761E764F"/>
    <w:rsid w:val="76D31F1A"/>
    <w:rsid w:val="78D72626"/>
    <w:rsid w:val="79C35FB2"/>
    <w:rsid w:val="7A1E525A"/>
    <w:rsid w:val="7B3C003F"/>
    <w:rsid w:val="7BF10B5B"/>
    <w:rsid w:val="7C5667B1"/>
    <w:rsid w:val="7C7C2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Normal Indent"/>
    <w:basedOn w:val="1"/>
    <w:next w:val="1"/>
    <w:qFormat/>
    <w:uiPriority w:val="0"/>
    <w:rPr>
      <w:sz w:val="28"/>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2784</Words>
  <Characters>2846</Characters>
  <Lines>0</Lines>
  <Paragraphs>0</Paragraphs>
  <TotalTime>4</TotalTime>
  <ScaleCrop>false</ScaleCrop>
  <LinksUpToDate>false</LinksUpToDate>
  <CharactersWithSpaces>2866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2025-02-26T01:20:00Z</dcterms:created>
  <dc:creator>cj</dc:creator>
  <cp:lastModifiedBy>All life터부</cp:lastModifiedBy>
  <cp:lastPrinted>2026-06-02T10:47:00Z</cp:lastPrinted>
  <dcterms:modified xsi:type="dcterms:W3CDTF">2026-06-03T06:52:54Z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A332A59558274DA9BB3CCF50B2622D34_13</vt:lpwstr>
  </property>
  <property fmtid="{D5CDD505-2E9C-101B-9397-08002B2CF9AE}" pid="4" name="KSOTemplateDocerSaveRecord">
    <vt:lpwstr>eyJoZGlkIjoiNjNmMTEyZTNmNmM3YzBlMTUwZmNkYzRlMzgwZjRhNWEiLCJ1c2VySWQiOiIyNjgzNzE1NzQifQ==</vt:lpwstr>
  </property>
</Properties>
</file>