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D6D1">
      <w:pPr>
        <w:spacing w:line="360" w:lineRule="auto"/>
        <w:jc w:val="center"/>
        <w:rPr>
          <w:rFonts w:hint="eastAsia" w:asciiTheme="majorEastAsia" w:hAnsiTheme="majorEastAsia" w:eastAsiaTheme="majorEastAsia"/>
          <w:b/>
          <w:sz w:val="32"/>
          <w:szCs w:val="32"/>
          <w:lang w:val="en-US" w:eastAsia="zh-CN"/>
        </w:rPr>
      </w:pPr>
      <w:r>
        <w:rPr>
          <w:rFonts w:hint="eastAsia" w:asciiTheme="majorEastAsia" w:hAnsiTheme="majorEastAsia" w:eastAsiaTheme="majorEastAsia"/>
          <w:b/>
          <w:sz w:val="32"/>
          <w:szCs w:val="32"/>
        </w:rPr>
        <w:t xml:space="preserve">贵州阳光产权交易所交易服务费收取标准须知             </w:t>
      </w:r>
      <w:r>
        <w:rPr>
          <w:rFonts w:hint="eastAsia" w:asciiTheme="majorEastAsia" w:hAnsiTheme="majorEastAsia" w:eastAsiaTheme="majorEastAsia"/>
          <w:b/>
          <w:sz w:val="32"/>
          <w:szCs w:val="32"/>
          <w:lang w:val="en-US" w:eastAsia="zh-CN"/>
        </w:rPr>
        <w:t xml:space="preserve"> </w:t>
      </w:r>
    </w:p>
    <w:p w14:paraId="5920531F">
      <w:pPr>
        <w:spacing w:line="360" w:lineRule="auto"/>
        <w:jc w:val="center"/>
        <w:rPr>
          <w:rFonts w:hint="eastAsia" w:asciiTheme="majorEastAsia" w:hAnsiTheme="majorEastAsia" w:eastAsiaTheme="majorEastAsia"/>
          <w:b/>
          <w:sz w:val="32"/>
          <w:szCs w:val="32"/>
          <w:lang w:val="en-US" w:eastAsia="zh-CN"/>
        </w:rPr>
      </w:pPr>
      <w:bookmarkStart w:id="0" w:name="_GoBack"/>
      <w:bookmarkEnd w:id="0"/>
    </w:p>
    <w:p w14:paraId="642EE524">
      <w:pPr>
        <w:spacing w:line="360" w:lineRule="auto"/>
        <w:rPr>
          <w:rFonts w:asciiTheme="minorEastAsia" w:hAnsiTheme="minorEastAsia"/>
          <w:b/>
          <w:sz w:val="24"/>
          <w:szCs w:val="24"/>
        </w:rPr>
      </w:pPr>
      <w:r>
        <w:rPr>
          <w:rFonts w:hint="eastAsia" w:asciiTheme="minorEastAsia" w:hAnsiTheme="minorEastAsia"/>
          <w:b/>
          <w:sz w:val="24"/>
          <w:szCs w:val="24"/>
        </w:rPr>
        <w:t>意向受让方在项目报名前，应认真阅读本须知。</w:t>
      </w:r>
    </w:p>
    <w:p w14:paraId="25782E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为了进一步推进贵州省产权交易市场的规范发展，建立有序竞争的市场秩序，规范各业务类型的收费行为，根据黔产权通[2020]10号，现就本所关于资产处置类服务费收取标准告知如下：</w:t>
      </w:r>
    </w:p>
    <w:p w14:paraId="1C869C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hint="eastAsia" w:asciiTheme="minorEastAsia" w:hAnsiTheme="minorEastAsia"/>
          <w:sz w:val="24"/>
          <w:szCs w:val="24"/>
          <w:lang w:val="en-US" w:eastAsia="zh-CN"/>
        </w:rPr>
        <w:t>金融企业债权类服务费</w:t>
      </w:r>
    </w:p>
    <w:p w14:paraId="1C721D1D">
      <w:pPr>
        <w:keepNext w:val="0"/>
        <w:keepLines w:val="0"/>
        <w:widowControl/>
        <w:suppressLineNumbers w:val="0"/>
        <w:jc w:val="center"/>
        <w:rPr>
          <w:rFonts w:hint="eastAsia" w:asciiTheme="minorEastAsia" w:hAnsiTheme="minorEastAsia"/>
          <w:sz w:val="24"/>
          <w:szCs w:val="24"/>
        </w:rPr>
      </w:pPr>
      <w:r>
        <w:rPr>
          <w:rFonts w:hint="eastAsia" w:asciiTheme="minorEastAsia" w:hAnsiTheme="minorEastAsia"/>
          <w:sz w:val="24"/>
          <w:szCs w:val="24"/>
          <w:lang w:val="en-US" w:eastAsia="zh-CN"/>
        </w:rPr>
        <w:t>根据成交金额按差额定率累进法计算,具体标准如下：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3060"/>
      </w:tblGrid>
      <w:tr w14:paraId="6B7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4405AB0">
            <w:pPr>
              <w:spacing w:line="360" w:lineRule="auto"/>
              <w:rPr>
                <w:rFonts w:asciiTheme="minorEastAsia" w:hAnsiTheme="minorEastAsia"/>
                <w:sz w:val="24"/>
                <w:szCs w:val="24"/>
              </w:rPr>
            </w:pPr>
            <w:r>
              <w:rPr>
                <w:rFonts w:hint="eastAsia" w:asciiTheme="minorEastAsia" w:hAnsiTheme="minorEastAsia"/>
                <w:sz w:val="24"/>
                <w:szCs w:val="24"/>
              </w:rPr>
              <w:t xml:space="preserve">                 资产处置服务费 （计价基础：成交价）</w:t>
            </w:r>
          </w:p>
        </w:tc>
      </w:tr>
      <w:tr w14:paraId="5949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CB2363F">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8" w:type="dxa"/>
            <w:tcBorders>
              <w:top w:val="single" w:color="auto" w:sz="4" w:space="0"/>
              <w:left w:val="single" w:color="auto" w:sz="4" w:space="0"/>
              <w:bottom w:val="single" w:color="auto" w:sz="4" w:space="0"/>
              <w:right w:val="single" w:color="auto" w:sz="4" w:space="0"/>
            </w:tcBorders>
          </w:tcPr>
          <w:p w14:paraId="72696F62">
            <w:pPr>
              <w:spacing w:line="360" w:lineRule="auto"/>
              <w:rPr>
                <w:rFonts w:asciiTheme="minorEastAsia" w:hAnsiTheme="minorEastAsia"/>
                <w:sz w:val="24"/>
                <w:szCs w:val="24"/>
              </w:rPr>
            </w:pPr>
            <w:r>
              <w:rPr>
                <w:rFonts w:hint="eastAsia" w:asciiTheme="minorEastAsia" w:hAnsiTheme="minorEastAsia"/>
                <w:sz w:val="24"/>
                <w:szCs w:val="24"/>
              </w:rPr>
              <w:t xml:space="preserve">     费  率</w:t>
            </w:r>
          </w:p>
        </w:tc>
        <w:tc>
          <w:tcPr>
            <w:tcW w:w="3060" w:type="dxa"/>
            <w:tcBorders>
              <w:top w:val="single" w:color="auto" w:sz="4" w:space="0"/>
              <w:left w:val="single" w:color="auto" w:sz="4" w:space="0"/>
              <w:bottom w:val="single" w:color="auto" w:sz="4" w:space="0"/>
              <w:right w:val="single" w:color="auto" w:sz="4" w:space="0"/>
            </w:tcBorders>
          </w:tcPr>
          <w:p w14:paraId="76EC0681">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765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029135D">
            <w:pPr>
              <w:spacing w:line="360" w:lineRule="auto"/>
              <w:rPr>
                <w:rFonts w:asciiTheme="minorEastAsia" w:hAnsiTheme="minorEastAsia"/>
                <w:sz w:val="24"/>
                <w:szCs w:val="24"/>
              </w:rPr>
            </w:pPr>
            <w:r>
              <w:rPr>
                <w:rFonts w:hint="eastAsia" w:asciiTheme="minorEastAsia" w:hAnsiTheme="minorEastAsia"/>
                <w:sz w:val="24"/>
                <w:szCs w:val="24"/>
                <w:lang w:val="en-US" w:eastAsia="zh-CN"/>
              </w:rPr>
              <w:t>500</w:t>
            </w:r>
            <w:r>
              <w:rPr>
                <w:rFonts w:hint="eastAsia" w:asciiTheme="minorEastAsia" w:hAnsiTheme="minorEastAsia"/>
                <w:sz w:val="24"/>
                <w:szCs w:val="24"/>
              </w:rPr>
              <w:t>（含）以下</w:t>
            </w:r>
          </w:p>
        </w:tc>
        <w:tc>
          <w:tcPr>
            <w:tcW w:w="2128" w:type="dxa"/>
            <w:tcBorders>
              <w:top w:val="single" w:color="auto" w:sz="4" w:space="0"/>
              <w:left w:val="single" w:color="auto" w:sz="4" w:space="0"/>
              <w:bottom w:val="single" w:color="auto" w:sz="4" w:space="0"/>
              <w:right w:val="single" w:color="auto" w:sz="4" w:space="0"/>
            </w:tcBorders>
          </w:tcPr>
          <w:p w14:paraId="29E4597B">
            <w:pPr>
              <w:spacing w:line="360" w:lineRule="auto"/>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1</w:t>
            </w:r>
            <w:r>
              <w:rPr>
                <w:rFonts w:hint="eastAsia" w:asciiTheme="minorEastAsia" w:hAnsiTheme="minorEastAsia"/>
                <w:sz w:val="24"/>
                <w:szCs w:val="24"/>
              </w:rPr>
              <w:t>.0%</w:t>
            </w:r>
          </w:p>
        </w:tc>
        <w:tc>
          <w:tcPr>
            <w:tcW w:w="3060" w:type="dxa"/>
            <w:tcBorders>
              <w:top w:val="single" w:color="auto" w:sz="4" w:space="0"/>
              <w:left w:val="single" w:color="auto" w:sz="4" w:space="0"/>
              <w:bottom w:val="single" w:color="auto" w:sz="4" w:space="0"/>
              <w:right w:val="single" w:color="auto" w:sz="4" w:space="0"/>
            </w:tcBorders>
          </w:tcPr>
          <w:p w14:paraId="64263752">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受让方</w:t>
            </w:r>
          </w:p>
        </w:tc>
      </w:tr>
      <w:tr w14:paraId="230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B35A106">
            <w:pPr>
              <w:spacing w:line="360" w:lineRule="auto"/>
              <w:rPr>
                <w:rFonts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00——</w:t>
            </w:r>
            <w:r>
              <w:rPr>
                <w:rFonts w:hint="eastAsia" w:asciiTheme="minorEastAsia" w:hAnsiTheme="minorEastAsia"/>
                <w:sz w:val="24"/>
                <w:szCs w:val="24"/>
                <w:lang w:val="en-US" w:eastAsia="zh-CN"/>
              </w:rPr>
              <w:t>1</w:t>
            </w:r>
            <w:r>
              <w:rPr>
                <w:rFonts w:hint="eastAsia" w:asciiTheme="minorEastAsia" w:hAnsiTheme="minorEastAsia"/>
                <w:sz w:val="24"/>
                <w:szCs w:val="24"/>
              </w:rPr>
              <w:t>000（含）</w:t>
            </w:r>
          </w:p>
        </w:tc>
        <w:tc>
          <w:tcPr>
            <w:tcW w:w="2128" w:type="dxa"/>
            <w:tcBorders>
              <w:top w:val="single" w:color="auto" w:sz="4" w:space="0"/>
              <w:left w:val="single" w:color="auto" w:sz="4" w:space="0"/>
              <w:bottom w:val="single" w:color="auto" w:sz="4" w:space="0"/>
              <w:right w:val="single" w:color="auto" w:sz="4" w:space="0"/>
            </w:tcBorders>
          </w:tcPr>
          <w:p w14:paraId="064F40C5">
            <w:pPr>
              <w:spacing w:line="360" w:lineRule="auto"/>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0.8</w:t>
            </w:r>
            <w:r>
              <w:rPr>
                <w:rFonts w:hint="eastAsia" w:asciiTheme="minorEastAsia" w:hAnsiTheme="minorEastAsia"/>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0E89B6F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4CD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74FF9FD">
            <w:pPr>
              <w:spacing w:line="360" w:lineRule="auto"/>
              <w:rPr>
                <w:rFonts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rPr>
              <w:t>000——</w:t>
            </w:r>
            <w:r>
              <w:rPr>
                <w:rFonts w:hint="eastAsia" w:asciiTheme="minorEastAsia" w:hAnsiTheme="minorEastAsia"/>
                <w:sz w:val="24"/>
                <w:szCs w:val="24"/>
                <w:lang w:val="en-US" w:eastAsia="zh-CN"/>
              </w:rPr>
              <w:t>5</w:t>
            </w:r>
            <w:r>
              <w:rPr>
                <w:rFonts w:hint="eastAsia" w:asciiTheme="minorEastAsia" w:hAnsiTheme="minorEastAsia"/>
                <w:sz w:val="24"/>
                <w:szCs w:val="24"/>
              </w:rPr>
              <w:t>000（含）</w:t>
            </w:r>
          </w:p>
        </w:tc>
        <w:tc>
          <w:tcPr>
            <w:tcW w:w="2128" w:type="dxa"/>
            <w:tcBorders>
              <w:top w:val="single" w:color="auto" w:sz="4" w:space="0"/>
              <w:left w:val="single" w:color="auto" w:sz="4" w:space="0"/>
              <w:bottom w:val="single" w:color="auto" w:sz="4" w:space="0"/>
              <w:right w:val="single" w:color="auto" w:sz="4" w:space="0"/>
            </w:tcBorders>
          </w:tcPr>
          <w:p w14:paraId="60040A51">
            <w:pPr>
              <w:spacing w:line="360" w:lineRule="auto"/>
              <w:rPr>
                <w:rFonts w:asciiTheme="minorEastAsia" w:hAnsiTheme="minorEastAsia"/>
                <w:sz w:val="24"/>
                <w:szCs w:val="24"/>
              </w:rPr>
            </w:pPr>
            <w:r>
              <w:rPr>
                <w:rFonts w:hint="eastAsia" w:asciiTheme="minorEastAsia" w:hAnsiTheme="minorEastAsia"/>
                <w:sz w:val="24"/>
                <w:szCs w:val="24"/>
              </w:rPr>
              <w:t xml:space="preserve">      0.</w:t>
            </w:r>
            <w:r>
              <w:rPr>
                <w:rFonts w:hint="eastAsia" w:asciiTheme="minorEastAsia" w:hAnsiTheme="minorEastAsia"/>
                <w:sz w:val="24"/>
                <w:szCs w:val="24"/>
                <w:lang w:val="en-US" w:eastAsia="zh-CN"/>
              </w:rPr>
              <w:t>5</w:t>
            </w:r>
            <w:r>
              <w:rPr>
                <w:rFonts w:hint="eastAsia" w:asciiTheme="minorEastAsia" w:hAnsiTheme="minorEastAsia"/>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56A3E32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1D5E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1E3DF46">
            <w:pPr>
              <w:spacing w:line="360" w:lineRule="auto"/>
              <w:rPr>
                <w:rFonts w:asciiTheme="minorEastAsia" w:hAnsiTheme="minorEastAsia"/>
                <w:sz w:val="24"/>
                <w:szCs w:val="24"/>
              </w:rPr>
            </w:pPr>
            <w:r>
              <w:rPr>
                <w:rFonts w:hint="eastAsia" w:asciiTheme="minorEastAsia" w:hAnsiTheme="minorEastAsia"/>
                <w:sz w:val="24"/>
                <w:szCs w:val="24"/>
                <w:lang w:val="en-US" w:eastAsia="zh-CN"/>
              </w:rPr>
              <w:t>5000</w:t>
            </w:r>
            <w:r>
              <w:rPr>
                <w:rFonts w:hint="eastAsia" w:asciiTheme="minorEastAsia" w:hAnsiTheme="minorEastAsia"/>
                <w:sz w:val="24"/>
                <w:szCs w:val="24"/>
              </w:rPr>
              <w:t>以上</w:t>
            </w:r>
          </w:p>
        </w:tc>
        <w:tc>
          <w:tcPr>
            <w:tcW w:w="2128" w:type="dxa"/>
            <w:tcBorders>
              <w:top w:val="single" w:color="auto" w:sz="4" w:space="0"/>
              <w:left w:val="single" w:color="auto" w:sz="4" w:space="0"/>
              <w:bottom w:val="single" w:color="auto" w:sz="4" w:space="0"/>
              <w:right w:val="single" w:color="auto" w:sz="4" w:space="0"/>
            </w:tcBorders>
          </w:tcPr>
          <w:p w14:paraId="5DFEFE22">
            <w:pPr>
              <w:spacing w:line="360" w:lineRule="auto"/>
              <w:rPr>
                <w:rFonts w:asciiTheme="minorEastAsia" w:hAnsiTheme="minorEastAsia"/>
                <w:sz w:val="24"/>
                <w:szCs w:val="24"/>
              </w:rPr>
            </w:pPr>
            <w:r>
              <w:rPr>
                <w:rFonts w:hint="eastAsia" w:asciiTheme="minorEastAsia" w:hAnsiTheme="minorEastAsia"/>
                <w:sz w:val="24"/>
                <w:szCs w:val="24"/>
              </w:rPr>
              <w:t xml:space="preserve">      0.</w:t>
            </w:r>
            <w:r>
              <w:rPr>
                <w:rFonts w:hint="eastAsia" w:asciiTheme="minorEastAsia" w:hAnsiTheme="minorEastAsia"/>
                <w:sz w:val="24"/>
                <w:szCs w:val="24"/>
                <w:lang w:val="en-US" w:eastAsia="zh-CN"/>
              </w:rPr>
              <w:t>3</w:t>
            </w:r>
            <w:r>
              <w:rPr>
                <w:rFonts w:hint="eastAsia" w:asciiTheme="minorEastAsia" w:hAnsiTheme="minorEastAsia"/>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76E6972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bl>
    <w:p w14:paraId="5CEFB024">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r>
        <w:rPr>
          <w:rFonts w:asciiTheme="minorEastAsia" w:hAnsiTheme="minorEastAsia"/>
          <w:sz w:val="24"/>
          <w:szCs w:val="24"/>
        </w:rPr>
        <w:t>：</w:t>
      </w:r>
      <w:r>
        <w:rPr>
          <w:rFonts w:hint="eastAsia" w:asciiTheme="minorEastAsia" w:hAnsiTheme="minorEastAsia"/>
          <w:sz w:val="24"/>
          <w:szCs w:val="24"/>
        </w:rPr>
        <w:t>按上述标准计算，资产处置交易服务费不足500</w:t>
      </w:r>
      <w:r>
        <w:rPr>
          <w:rFonts w:hint="eastAsia" w:asciiTheme="minorEastAsia" w:hAnsiTheme="minorEastAsia"/>
          <w:sz w:val="24"/>
          <w:szCs w:val="24"/>
          <w:lang w:val="en-US" w:eastAsia="zh-CN"/>
        </w:rPr>
        <w:t>0</w:t>
      </w:r>
      <w:r>
        <w:rPr>
          <w:rFonts w:hint="eastAsia" w:asciiTheme="minorEastAsia" w:hAnsiTheme="minorEastAsia"/>
          <w:sz w:val="24"/>
          <w:szCs w:val="24"/>
        </w:rPr>
        <w:t>元的按500</w:t>
      </w:r>
      <w:r>
        <w:rPr>
          <w:rFonts w:hint="eastAsia" w:asciiTheme="minorEastAsia" w:hAnsiTheme="minorEastAsia"/>
          <w:sz w:val="24"/>
          <w:szCs w:val="24"/>
          <w:lang w:val="en-US" w:eastAsia="zh-CN"/>
        </w:rPr>
        <w:t>0</w:t>
      </w:r>
      <w:r>
        <w:rPr>
          <w:rFonts w:hint="eastAsia" w:asciiTheme="minorEastAsia" w:hAnsiTheme="minorEastAsia"/>
          <w:sz w:val="24"/>
          <w:szCs w:val="24"/>
        </w:rPr>
        <w:t>元收取；2、竞价项目，除交纳资产处置服务费外，还须交纳本须知第二条之公开遴选服务费。</w:t>
      </w:r>
    </w:p>
    <w:p w14:paraId="419FAB24">
      <w:pPr>
        <w:spacing w:line="360" w:lineRule="auto"/>
        <w:ind w:left="435" w:firstLine="120" w:firstLineChars="50"/>
        <w:rPr>
          <w:rFonts w:asciiTheme="minorEastAsia" w:hAnsiTheme="minorEastAsia"/>
          <w:sz w:val="24"/>
          <w:szCs w:val="24"/>
        </w:rPr>
      </w:pPr>
      <w:r>
        <w:rPr>
          <w:rFonts w:hint="eastAsia" w:asciiTheme="minorEastAsia" w:hAnsiTheme="minorEastAsia"/>
          <w:sz w:val="24"/>
          <w:szCs w:val="24"/>
        </w:rPr>
        <w:t>二、公开遴选服务费</w:t>
      </w:r>
    </w:p>
    <w:p w14:paraId="1DFB5D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公开遴选服务费指通过遴选确定最终受让方（投资方）而收取的服务费，公开遴选服务费包括采取网络竞价、竞争性谈判、综合评议等遴选方式所收取的服务费。</w:t>
      </w:r>
    </w:p>
    <w:p w14:paraId="5E7CD4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4"/>
        <w:gridCol w:w="3064"/>
      </w:tblGrid>
      <w:tr w14:paraId="2CC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147EAA38">
            <w:pPr>
              <w:spacing w:line="360" w:lineRule="auto"/>
              <w:rPr>
                <w:rFonts w:asciiTheme="minorEastAsia" w:hAnsiTheme="minorEastAsia"/>
                <w:sz w:val="24"/>
                <w:szCs w:val="24"/>
              </w:rPr>
            </w:pPr>
            <w:r>
              <w:rPr>
                <w:rFonts w:hint="eastAsia" w:asciiTheme="minorEastAsia" w:hAnsiTheme="minorEastAsia"/>
                <w:sz w:val="24"/>
                <w:szCs w:val="24"/>
              </w:rPr>
              <w:t xml:space="preserve">                公开遴选服务费 （计价基础：成交价）</w:t>
            </w:r>
          </w:p>
        </w:tc>
      </w:tr>
      <w:tr w14:paraId="7B5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58789C9">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4" w:type="dxa"/>
            <w:tcBorders>
              <w:top w:val="single" w:color="auto" w:sz="4" w:space="0"/>
              <w:left w:val="single" w:color="auto" w:sz="4" w:space="0"/>
              <w:bottom w:val="single" w:color="auto" w:sz="4" w:space="0"/>
              <w:right w:val="single" w:color="auto" w:sz="4" w:space="0"/>
            </w:tcBorders>
          </w:tcPr>
          <w:p w14:paraId="37919A66">
            <w:pPr>
              <w:spacing w:line="360" w:lineRule="auto"/>
              <w:jc w:val="center"/>
              <w:rPr>
                <w:rFonts w:asciiTheme="minorEastAsia" w:hAnsiTheme="minorEastAsia"/>
                <w:sz w:val="24"/>
                <w:szCs w:val="24"/>
              </w:rPr>
            </w:pPr>
            <w:r>
              <w:rPr>
                <w:rFonts w:hint="eastAsia" w:asciiTheme="minorEastAsia" w:hAnsiTheme="minorEastAsia"/>
                <w:sz w:val="24"/>
                <w:szCs w:val="24"/>
              </w:rPr>
              <w:t>费  率</w:t>
            </w:r>
          </w:p>
        </w:tc>
        <w:tc>
          <w:tcPr>
            <w:tcW w:w="3064" w:type="dxa"/>
            <w:tcBorders>
              <w:top w:val="single" w:color="auto" w:sz="4" w:space="0"/>
              <w:left w:val="single" w:color="auto" w:sz="4" w:space="0"/>
              <w:bottom w:val="single" w:color="auto" w:sz="4" w:space="0"/>
              <w:right w:val="single" w:color="auto" w:sz="4" w:space="0"/>
            </w:tcBorders>
          </w:tcPr>
          <w:p w14:paraId="32DBB45F">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568F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87612BE">
            <w:pPr>
              <w:spacing w:line="360" w:lineRule="auto"/>
              <w:rPr>
                <w:rFonts w:asciiTheme="minorEastAsia" w:hAnsiTheme="minorEastAsia"/>
                <w:sz w:val="24"/>
                <w:szCs w:val="24"/>
              </w:rPr>
            </w:pPr>
            <w:r>
              <w:rPr>
                <w:rFonts w:hint="eastAsia" w:asciiTheme="minorEastAsia" w:hAnsiTheme="minorEastAsia"/>
                <w:sz w:val="24"/>
                <w:szCs w:val="24"/>
              </w:rPr>
              <w:t>500（含）以下</w:t>
            </w:r>
          </w:p>
        </w:tc>
        <w:tc>
          <w:tcPr>
            <w:tcW w:w="2124" w:type="dxa"/>
            <w:tcBorders>
              <w:top w:val="single" w:color="auto" w:sz="4" w:space="0"/>
              <w:left w:val="single" w:color="auto" w:sz="4" w:space="0"/>
              <w:bottom w:val="single" w:color="auto" w:sz="4" w:space="0"/>
              <w:right w:val="single" w:color="auto" w:sz="4" w:space="0"/>
            </w:tcBorders>
          </w:tcPr>
          <w:p w14:paraId="63B979AC">
            <w:pPr>
              <w:spacing w:line="360" w:lineRule="auto"/>
              <w:jc w:val="center"/>
              <w:rPr>
                <w:rFonts w:asciiTheme="minorEastAsia" w:hAnsiTheme="minorEastAsia"/>
                <w:sz w:val="24"/>
                <w:szCs w:val="24"/>
              </w:rPr>
            </w:pPr>
            <w:r>
              <w:rPr>
                <w:rFonts w:hint="eastAsia" w:asciiTheme="minorEastAsia" w:hAnsiTheme="minorEastAsia"/>
                <w:sz w:val="24"/>
                <w:szCs w:val="24"/>
              </w:rPr>
              <w:t>2.5%</w:t>
            </w:r>
          </w:p>
        </w:tc>
        <w:tc>
          <w:tcPr>
            <w:tcW w:w="3064" w:type="dxa"/>
            <w:tcBorders>
              <w:top w:val="single" w:color="auto" w:sz="4" w:space="0"/>
              <w:left w:val="single" w:color="auto" w:sz="4" w:space="0"/>
              <w:bottom w:val="single" w:color="auto" w:sz="4" w:space="0"/>
              <w:right w:val="single" w:color="auto" w:sz="4" w:space="0"/>
            </w:tcBorders>
          </w:tcPr>
          <w:p w14:paraId="0E6A0A7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769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B09B1C0">
            <w:pPr>
              <w:spacing w:line="360" w:lineRule="auto"/>
              <w:rPr>
                <w:rFonts w:asciiTheme="minorEastAsia" w:hAnsiTheme="minorEastAsia"/>
                <w:sz w:val="24"/>
                <w:szCs w:val="24"/>
              </w:rPr>
            </w:pPr>
            <w:r>
              <w:rPr>
                <w:rFonts w:hint="eastAsia" w:asciiTheme="minorEastAsia" w:hAnsiTheme="minorEastAsia"/>
                <w:sz w:val="24"/>
                <w:szCs w:val="24"/>
              </w:rPr>
              <w:t>500——1000（含）</w:t>
            </w:r>
          </w:p>
        </w:tc>
        <w:tc>
          <w:tcPr>
            <w:tcW w:w="2124" w:type="dxa"/>
            <w:tcBorders>
              <w:top w:val="single" w:color="auto" w:sz="4" w:space="0"/>
              <w:left w:val="single" w:color="auto" w:sz="4" w:space="0"/>
              <w:bottom w:val="single" w:color="auto" w:sz="4" w:space="0"/>
              <w:right w:val="single" w:color="auto" w:sz="4" w:space="0"/>
            </w:tcBorders>
          </w:tcPr>
          <w:p w14:paraId="1F4903E9">
            <w:pPr>
              <w:spacing w:line="360" w:lineRule="auto"/>
              <w:jc w:val="center"/>
              <w:rPr>
                <w:rFonts w:asciiTheme="minorEastAsia" w:hAnsiTheme="minorEastAsia"/>
                <w:sz w:val="24"/>
                <w:szCs w:val="24"/>
              </w:rPr>
            </w:pPr>
            <w:r>
              <w:rPr>
                <w:rFonts w:hint="eastAsia" w:asciiTheme="minorEastAsia" w:hAnsiTheme="minorEastAsia"/>
                <w:sz w:val="24"/>
                <w:szCs w:val="24"/>
              </w:rPr>
              <w:t>2.0%</w:t>
            </w:r>
          </w:p>
        </w:tc>
        <w:tc>
          <w:tcPr>
            <w:tcW w:w="3064" w:type="dxa"/>
            <w:tcBorders>
              <w:top w:val="single" w:color="auto" w:sz="4" w:space="0"/>
              <w:left w:val="single" w:color="auto" w:sz="4" w:space="0"/>
              <w:bottom w:val="single" w:color="auto" w:sz="4" w:space="0"/>
              <w:right w:val="single" w:color="auto" w:sz="4" w:space="0"/>
            </w:tcBorders>
          </w:tcPr>
          <w:p w14:paraId="50D973C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41A4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B6FBCC1">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4" w:type="dxa"/>
            <w:tcBorders>
              <w:top w:val="single" w:color="auto" w:sz="4" w:space="0"/>
              <w:left w:val="single" w:color="auto" w:sz="4" w:space="0"/>
              <w:bottom w:val="single" w:color="auto" w:sz="4" w:space="0"/>
              <w:right w:val="single" w:color="auto" w:sz="4" w:space="0"/>
            </w:tcBorders>
          </w:tcPr>
          <w:p w14:paraId="1F018403">
            <w:pPr>
              <w:spacing w:line="360" w:lineRule="auto"/>
              <w:jc w:val="center"/>
              <w:rPr>
                <w:rFonts w:asciiTheme="minorEastAsia" w:hAnsiTheme="minorEastAsia"/>
                <w:sz w:val="24"/>
                <w:szCs w:val="24"/>
              </w:rPr>
            </w:pPr>
            <w:r>
              <w:rPr>
                <w:rFonts w:hint="eastAsia" w:asciiTheme="minorEastAsia" w:hAnsiTheme="minorEastAsia"/>
                <w:sz w:val="24"/>
                <w:szCs w:val="24"/>
              </w:rPr>
              <w:t>1.5%</w:t>
            </w:r>
          </w:p>
        </w:tc>
        <w:tc>
          <w:tcPr>
            <w:tcW w:w="3064" w:type="dxa"/>
            <w:tcBorders>
              <w:top w:val="single" w:color="auto" w:sz="4" w:space="0"/>
              <w:left w:val="single" w:color="auto" w:sz="4" w:space="0"/>
              <w:bottom w:val="single" w:color="auto" w:sz="4" w:space="0"/>
              <w:right w:val="single" w:color="auto" w:sz="4" w:space="0"/>
            </w:tcBorders>
          </w:tcPr>
          <w:p w14:paraId="5C73E7B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23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8880F76">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4" w:type="dxa"/>
            <w:tcBorders>
              <w:top w:val="single" w:color="auto" w:sz="4" w:space="0"/>
              <w:left w:val="single" w:color="auto" w:sz="4" w:space="0"/>
              <w:bottom w:val="single" w:color="auto" w:sz="4" w:space="0"/>
              <w:right w:val="single" w:color="auto" w:sz="4" w:space="0"/>
            </w:tcBorders>
          </w:tcPr>
          <w:p w14:paraId="055DB013">
            <w:pPr>
              <w:spacing w:line="360" w:lineRule="auto"/>
              <w:jc w:val="center"/>
              <w:rPr>
                <w:rFonts w:asciiTheme="minorEastAsia" w:hAnsiTheme="minorEastAsia"/>
                <w:sz w:val="24"/>
                <w:szCs w:val="24"/>
              </w:rPr>
            </w:pPr>
            <w:r>
              <w:rPr>
                <w:rFonts w:hint="eastAsia" w:asciiTheme="minorEastAsia" w:hAnsiTheme="minorEastAsia"/>
                <w:sz w:val="24"/>
                <w:szCs w:val="24"/>
              </w:rPr>
              <w:t>0.8%</w:t>
            </w:r>
          </w:p>
        </w:tc>
        <w:tc>
          <w:tcPr>
            <w:tcW w:w="3064" w:type="dxa"/>
            <w:tcBorders>
              <w:top w:val="single" w:color="auto" w:sz="4" w:space="0"/>
              <w:left w:val="single" w:color="auto" w:sz="4" w:space="0"/>
              <w:bottom w:val="single" w:color="auto" w:sz="4" w:space="0"/>
              <w:right w:val="single" w:color="auto" w:sz="4" w:space="0"/>
            </w:tcBorders>
          </w:tcPr>
          <w:p w14:paraId="1EA97D21">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A2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3F66722">
            <w:pPr>
              <w:spacing w:line="360" w:lineRule="auto"/>
              <w:rPr>
                <w:rFonts w:asciiTheme="minorEastAsia" w:hAnsiTheme="minorEastAsia"/>
                <w:sz w:val="24"/>
                <w:szCs w:val="24"/>
              </w:rPr>
            </w:pPr>
            <w:r>
              <w:rPr>
                <w:rFonts w:hint="eastAsia" w:asciiTheme="minorEastAsia" w:hAnsiTheme="minorEastAsia"/>
                <w:sz w:val="24"/>
                <w:szCs w:val="24"/>
              </w:rPr>
              <w:t>10000以上</w:t>
            </w:r>
          </w:p>
        </w:tc>
        <w:tc>
          <w:tcPr>
            <w:tcW w:w="2124" w:type="dxa"/>
            <w:tcBorders>
              <w:top w:val="single" w:color="auto" w:sz="4" w:space="0"/>
              <w:left w:val="single" w:color="auto" w:sz="4" w:space="0"/>
              <w:bottom w:val="single" w:color="auto" w:sz="4" w:space="0"/>
              <w:right w:val="single" w:color="auto" w:sz="4" w:space="0"/>
            </w:tcBorders>
          </w:tcPr>
          <w:p w14:paraId="0A99BD57">
            <w:pPr>
              <w:spacing w:line="360" w:lineRule="auto"/>
              <w:jc w:val="center"/>
              <w:rPr>
                <w:rFonts w:asciiTheme="minorEastAsia" w:hAnsiTheme="minorEastAsia"/>
                <w:sz w:val="24"/>
                <w:szCs w:val="24"/>
              </w:rPr>
            </w:pPr>
            <w:r>
              <w:rPr>
                <w:rFonts w:hint="eastAsia" w:asciiTheme="minorEastAsia" w:hAnsiTheme="minorEastAsia"/>
                <w:sz w:val="24"/>
                <w:szCs w:val="24"/>
              </w:rPr>
              <w:t>0.5%</w:t>
            </w:r>
          </w:p>
        </w:tc>
        <w:tc>
          <w:tcPr>
            <w:tcW w:w="3064" w:type="dxa"/>
            <w:tcBorders>
              <w:top w:val="single" w:color="auto" w:sz="4" w:space="0"/>
              <w:left w:val="single" w:color="auto" w:sz="4" w:space="0"/>
              <w:bottom w:val="single" w:color="auto" w:sz="4" w:space="0"/>
              <w:right w:val="single" w:color="auto" w:sz="4" w:space="0"/>
            </w:tcBorders>
          </w:tcPr>
          <w:p w14:paraId="29FE3CA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bl>
    <w:p w14:paraId="29A5D1F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 采取公开拍卖等方式的项目，按本须知规定的产（股）权交易服务收费标准向本所交纳服务费（以成交价计算）外，拍卖佣金由承担拍卖事务的拍卖中介另行收取。</w:t>
      </w:r>
    </w:p>
    <w:p w14:paraId="5C7B4E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三、其他</w:t>
      </w:r>
    </w:p>
    <w:p w14:paraId="6A2BA1D2">
      <w:pPr>
        <w:spacing w:line="360" w:lineRule="auto"/>
        <w:ind w:firstLine="480"/>
        <w:rPr>
          <w:rFonts w:asciiTheme="minorEastAsia" w:hAnsiTheme="minorEastAsia"/>
          <w:sz w:val="24"/>
          <w:szCs w:val="24"/>
        </w:rPr>
      </w:pPr>
      <w:r>
        <w:rPr>
          <w:rFonts w:hint="eastAsia" w:asciiTheme="minorEastAsia" w:hAnsiTheme="minorEastAsia"/>
          <w:sz w:val="24"/>
          <w:szCs w:val="24"/>
        </w:rPr>
        <w:t>如意向受让方对</w:t>
      </w:r>
      <w:r>
        <w:rPr>
          <w:rFonts w:asciiTheme="minorEastAsia" w:hAnsiTheme="minorEastAsia"/>
          <w:sz w:val="24"/>
          <w:szCs w:val="24"/>
        </w:rPr>
        <w:t>上述</w:t>
      </w:r>
      <w:r>
        <w:rPr>
          <w:rFonts w:hint="eastAsia" w:asciiTheme="minorEastAsia" w:hAnsiTheme="minorEastAsia"/>
          <w:sz w:val="24"/>
          <w:szCs w:val="24"/>
        </w:rPr>
        <w:t>须知有任何不明或异议，应事先以书面形式向本所提出并要求做出解释和澄清。</w:t>
      </w:r>
    </w:p>
    <w:p w14:paraId="00E93470">
      <w:pPr>
        <w:spacing w:line="360" w:lineRule="auto"/>
        <w:ind w:firstLine="560" w:firstLineChars="200"/>
        <w:rPr>
          <w:rFonts w:asciiTheme="minorEastAsia" w:hAnsiTheme="minorEastAsia"/>
          <w:color w:val="auto"/>
          <w:sz w:val="24"/>
          <w:szCs w:val="24"/>
        </w:rPr>
      </w:pPr>
      <w:r>
        <w:rPr>
          <w:rFonts w:hint="eastAsia" w:ascii="宋体" w:hAnsi="宋体" w:eastAsia="宋体" w:cs="宋体"/>
          <w:sz w:val="28"/>
          <w:szCs w:val="36"/>
          <w:lang w:val="en-US" w:eastAsia="zh-CN"/>
        </w:rPr>
        <w:t>受让方在收到贵州阳光产权交易所发出的成交结果通知书之日起5个工作日内</w:t>
      </w:r>
      <w:r>
        <w:rPr>
          <w:rFonts w:hint="eastAsia" w:ascii="宋体" w:hAnsi="宋体" w:eastAsia="宋体" w:cs="宋体"/>
          <w:sz w:val="28"/>
          <w:szCs w:val="36"/>
        </w:rPr>
        <w:t>应当按照</w:t>
      </w:r>
      <w:r>
        <w:rPr>
          <w:rFonts w:hint="eastAsia" w:ascii="宋体" w:hAnsi="宋体" w:eastAsia="宋体" w:cs="宋体"/>
          <w:sz w:val="28"/>
          <w:szCs w:val="28"/>
        </w:rPr>
        <w:t>《贵州阳光产权交易所有限公司服务费收费</w:t>
      </w:r>
      <w:r>
        <w:rPr>
          <w:rFonts w:hint="eastAsia" w:ascii="宋体" w:hAnsi="宋体" w:eastAsia="宋体" w:cs="宋体"/>
          <w:sz w:val="28"/>
          <w:szCs w:val="28"/>
          <w:lang w:eastAsia="zh-CN"/>
        </w:rPr>
        <w:t>须知</w:t>
      </w:r>
      <w:r>
        <w:rPr>
          <w:rFonts w:hint="eastAsia" w:ascii="宋体" w:hAnsi="宋体" w:eastAsia="宋体" w:cs="宋体"/>
          <w:sz w:val="28"/>
          <w:szCs w:val="28"/>
        </w:rPr>
        <w:t>》</w:t>
      </w:r>
      <w:r>
        <w:rPr>
          <w:rFonts w:hint="eastAsia" w:ascii="宋体" w:hAnsi="宋体" w:eastAsia="宋体" w:cs="宋体"/>
          <w:sz w:val="28"/>
          <w:szCs w:val="36"/>
        </w:rPr>
        <w:t>支付</w:t>
      </w:r>
      <w:r>
        <w:rPr>
          <w:rFonts w:hint="eastAsia" w:ascii="宋体" w:hAnsi="宋体" w:eastAsia="宋体" w:cs="宋体"/>
          <w:color w:val="FF0000"/>
          <w:sz w:val="28"/>
          <w:szCs w:val="36"/>
          <w:lang w:eastAsia="zh-CN"/>
        </w:rPr>
        <w:t>交易</w:t>
      </w:r>
      <w:r>
        <w:rPr>
          <w:rFonts w:hint="eastAsia" w:ascii="宋体" w:hAnsi="宋体" w:eastAsia="宋体" w:cs="宋体"/>
          <w:color w:val="FF0000"/>
          <w:sz w:val="28"/>
          <w:szCs w:val="36"/>
          <w:lang w:val="en-US" w:eastAsia="zh-CN"/>
        </w:rPr>
        <w:t>服务费</w:t>
      </w:r>
      <w:r>
        <w:rPr>
          <w:rFonts w:hint="eastAsia" w:ascii="宋体" w:hAnsi="宋体" w:eastAsia="宋体" w:cs="宋体"/>
          <w:sz w:val="28"/>
          <w:szCs w:val="36"/>
        </w:rPr>
        <w:t>，</w:t>
      </w:r>
      <w:r>
        <w:rPr>
          <w:rFonts w:hint="eastAsia" w:ascii="宋体" w:hAnsi="宋体" w:eastAsia="宋体" w:cs="宋体"/>
          <w:sz w:val="28"/>
          <w:szCs w:val="36"/>
          <w:lang w:val="en-US" w:eastAsia="zh-CN"/>
        </w:rPr>
        <w:t>未按时支付交易服务费的，交易所将从受让方交纳的交易保证金中扣除相应交易服务费</w:t>
      </w:r>
      <w:r>
        <w:rPr>
          <w:rFonts w:hint="eastAsia" w:asciiTheme="minorEastAsia" w:hAnsiTheme="minorEastAsia"/>
          <w:color w:val="auto"/>
          <w:sz w:val="24"/>
          <w:szCs w:val="24"/>
        </w:rPr>
        <w:t>。</w:t>
      </w:r>
    </w:p>
    <w:p w14:paraId="378454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注：上文中所提及部分名词定义：</w:t>
      </w:r>
    </w:p>
    <w:p w14:paraId="2A9EE13E">
      <w:pPr>
        <w:spacing w:line="360" w:lineRule="auto"/>
        <w:ind w:firstLine="360" w:firstLineChars="150"/>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本所</w:t>
      </w:r>
      <w:r>
        <w:rPr>
          <w:rFonts w:asciiTheme="minorEastAsia" w:hAnsiTheme="minorEastAsia"/>
          <w:sz w:val="24"/>
          <w:szCs w:val="24"/>
        </w:rPr>
        <w:t>”</w:t>
      </w:r>
      <w:r>
        <w:rPr>
          <w:rFonts w:hint="eastAsia" w:asciiTheme="minorEastAsia" w:hAnsiTheme="minorEastAsia"/>
          <w:sz w:val="24"/>
          <w:szCs w:val="24"/>
        </w:rPr>
        <w:t>：系指贵州阳光产权交易所有限公司。</w:t>
      </w:r>
    </w:p>
    <w:p w14:paraId="5BD290C0">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“意向受让方” ：系指在贵州阳光产权交易所有限公司正式办理求购登记并按标的信息披露公告要求提交相关资料并足额交纳保证金的企业法人、自然人或其他组织。</w:t>
      </w:r>
    </w:p>
    <w:p w14:paraId="5F29DD0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“受让方” ：系指标的项目的最终买受人。</w:t>
      </w:r>
    </w:p>
    <w:p w14:paraId="52DB0C6F">
      <w:pPr>
        <w:spacing w:line="360" w:lineRule="auto"/>
        <w:ind w:firstLine="480" w:firstLineChars="200"/>
        <w:rPr>
          <w:rFonts w:asciiTheme="minorEastAsia" w:hAnsiTheme="minorEastAsia"/>
          <w:sz w:val="24"/>
          <w:szCs w:val="24"/>
        </w:rPr>
      </w:pPr>
      <w:r>
        <w:rPr>
          <w:rFonts w:asciiTheme="minorEastAsia" w:hAnsiTheme="minorEastAsia"/>
          <w:sz w:val="24"/>
          <w:szCs w:val="24"/>
        </w:rPr>
        <w:t>如果</w:t>
      </w:r>
      <w:r>
        <w:rPr>
          <w:rFonts w:hint="eastAsia" w:asciiTheme="minorEastAsia" w:hAnsiTheme="minorEastAsia"/>
          <w:sz w:val="24"/>
          <w:szCs w:val="24"/>
        </w:rPr>
        <w:t>意向受让方</w:t>
      </w:r>
      <w:r>
        <w:rPr>
          <w:rFonts w:asciiTheme="minorEastAsia" w:hAnsiTheme="minorEastAsia"/>
          <w:sz w:val="24"/>
          <w:szCs w:val="24"/>
        </w:rPr>
        <w:t>对上述</w:t>
      </w:r>
      <w:r>
        <w:rPr>
          <w:rFonts w:hint="eastAsia" w:asciiTheme="minorEastAsia" w:hAnsiTheme="minorEastAsia"/>
          <w:sz w:val="24"/>
          <w:szCs w:val="24"/>
        </w:rPr>
        <w:t>须知</w:t>
      </w:r>
      <w:r>
        <w:rPr>
          <w:rFonts w:asciiTheme="minorEastAsia" w:hAnsiTheme="minorEastAsia"/>
          <w:sz w:val="24"/>
          <w:szCs w:val="24"/>
        </w:rPr>
        <w:t>已完全了解,</w:t>
      </w:r>
      <w:r>
        <w:rPr>
          <w:rFonts w:hint="eastAsia" w:asciiTheme="minorEastAsia" w:hAnsiTheme="minorEastAsia"/>
          <w:sz w:val="24"/>
          <w:szCs w:val="24"/>
        </w:rPr>
        <w:t>同意遵守本须知的，请盖章或</w:t>
      </w:r>
      <w:r>
        <w:rPr>
          <w:rFonts w:asciiTheme="minorEastAsia" w:hAnsiTheme="minorEastAsia"/>
          <w:sz w:val="24"/>
          <w:szCs w:val="24"/>
        </w:rPr>
        <w:t>签字确认。</w:t>
      </w:r>
    </w:p>
    <w:p w14:paraId="63051D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本须知一式两联，贵州阳光产权交易所有限公司和意向受让方各持一联。</w:t>
      </w:r>
    </w:p>
    <w:p w14:paraId="76F9D408">
      <w:pPr>
        <w:spacing w:line="360" w:lineRule="auto"/>
        <w:rPr>
          <w:rFonts w:asciiTheme="minorEastAsia" w:hAnsiTheme="minorEastAsia"/>
          <w:sz w:val="24"/>
          <w:szCs w:val="24"/>
        </w:rPr>
      </w:pPr>
    </w:p>
    <w:p w14:paraId="1091B695">
      <w:pPr>
        <w:spacing w:line="360" w:lineRule="auto"/>
        <w:ind w:right="480"/>
        <w:rPr>
          <w:rFonts w:asciiTheme="minorEastAsia" w:hAnsiTheme="minorEastAsia"/>
          <w:sz w:val="24"/>
          <w:szCs w:val="24"/>
        </w:rPr>
      </w:pPr>
    </w:p>
    <w:p w14:paraId="1C92AE0C">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意向受让方（签字或盖章）：</w:t>
      </w:r>
    </w:p>
    <w:p w14:paraId="5D8A503D">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 xml:space="preserve"> </w:t>
      </w:r>
    </w:p>
    <w:p w14:paraId="600CBCDB">
      <w:pPr>
        <w:spacing w:line="360" w:lineRule="auto"/>
        <w:ind w:left="3780" w:right="480" w:hanging="3780" w:hangingChars="1575"/>
        <w:rPr>
          <w:rFonts w:asciiTheme="minorEastAsia" w:hAnsiTheme="minorEastAsia"/>
          <w:sz w:val="24"/>
          <w:szCs w:val="24"/>
        </w:rPr>
      </w:pPr>
    </w:p>
    <w:p w14:paraId="6E49664E">
      <w:pPr>
        <w:spacing w:line="360" w:lineRule="auto"/>
        <w:ind w:left="3780" w:right="480" w:hanging="3780" w:hangingChars="1575"/>
        <w:rPr>
          <w:rFonts w:asciiTheme="minorEastAsia" w:hAnsiTheme="minorEastAsia"/>
          <w:sz w:val="24"/>
          <w:szCs w:val="24"/>
        </w:rPr>
      </w:pPr>
    </w:p>
    <w:p w14:paraId="375EE526">
      <w:pPr>
        <w:spacing w:line="360" w:lineRule="auto"/>
        <w:ind w:left="3780" w:right="480" w:hanging="3780" w:hangingChars="1575"/>
        <w:rPr>
          <w:rFonts w:hint="eastAsia" w:asciiTheme="minorEastAsia" w:hAnsiTheme="minorEastAsia"/>
          <w:sz w:val="24"/>
          <w:szCs w:val="24"/>
        </w:rPr>
      </w:pPr>
      <w:r>
        <w:rPr>
          <w:rFonts w:hint="eastAsia" w:asciiTheme="minorEastAsia" w:hAnsiTheme="minorEastAsia"/>
          <w:sz w:val="24"/>
          <w:szCs w:val="24"/>
        </w:rPr>
        <w:t>委托代理人（签字或盖章）：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E0"/>
    <w:rsid w:val="00017409"/>
    <w:rsid w:val="0005274D"/>
    <w:rsid w:val="00067849"/>
    <w:rsid w:val="000B1E7E"/>
    <w:rsid w:val="00102BE0"/>
    <w:rsid w:val="00117950"/>
    <w:rsid w:val="00132D80"/>
    <w:rsid w:val="00162202"/>
    <w:rsid w:val="00192728"/>
    <w:rsid w:val="00257E41"/>
    <w:rsid w:val="002657E4"/>
    <w:rsid w:val="00271BB2"/>
    <w:rsid w:val="002B2657"/>
    <w:rsid w:val="002C1598"/>
    <w:rsid w:val="00313895"/>
    <w:rsid w:val="00365F1E"/>
    <w:rsid w:val="00367B90"/>
    <w:rsid w:val="003B0076"/>
    <w:rsid w:val="00485432"/>
    <w:rsid w:val="00592451"/>
    <w:rsid w:val="005A6F80"/>
    <w:rsid w:val="005B606F"/>
    <w:rsid w:val="006059A0"/>
    <w:rsid w:val="006109E7"/>
    <w:rsid w:val="006D4061"/>
    <w:rsid w:val="007113E7"/>
    <w:rsid w:val="007301CB"/>
    <w:rsid w:val="00740BF5"/>
    <w:rsid w:val="007D5FEB"/>
    <w:rsid w:val="007E1CB9"/>
    <w:rsid w:val="007F2FFA"/>
    <w:rsid w:val="007F451A"/>
    <w:rsid w:val="00843DA3"/>
    <w:rsid w:val="0090674D"/>
    <w:rsid w:val="00952DC9"/>
    <w:rsid w:val="009C6EE3"/>
    <w:rsid w:val="009F02C1"/>
    <w:rsid w:val="00AD5870"/>
    <w:rsid w:val="00B07CD7"/>
    <w:rsid w:val="00B940E2"/>
    <w:rsid w:val="00BF1C30"/>
    <w:rsid w:val="00C17EA3"/>
    <w:rsid w:val="00C44CA6"/>
    <w:rsid w:val="00CC5309"/>
    <w:rsid w:val="00CC7228"/>
    <w:rsid w:val="00CE28F6"/>
    <w:rsid w:val="00D039C6"/>
    <w:rsid w:val="00D14A08"/>
    <w:rsid w:val="00D609F3"/>
    <w:rsid w:val="00DB08B4"/>
    <w:rsid w:val="00DB5CE3"/>
    <w:rsid w:val="00E8228C"/>
    <w:rsid w:val="00FA279B"/>
    <w:rsid w:val="00FE0D30"/>
    <w:rsid w:val="0EFB1BB6"/>
    <w:rsid w:val="192536F5"/>
    <w:rsid w:val="1C2C2AC4"/>
    <w:rsid w:val="1D156539"/>
    <w:rsid w:val="28835A5C"/>
    <w:rsid w:val="28F05937"/>
    <w:rsid w:val="32544310"/>
    <w:rsid w:val="36FB32B7"/>
    <w:rsid w:val="3CF50F70"/>
    <w:rsid w:val="42C43A92"/>
    <w:rsid w:val="42EE5965"/>
    <w:rsid w:val="4B024DD6"/>
    <w:rsid w:val="57342F92"/>
    <w:rsid w:val="59E22114"/>
    <w:rsid w:val="5ABD109B"/>
    <w:rsid w:val="5C071157"/>
    <w:rsid w:val="62BD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C1557-2FBD-4A7F-8D03-91F38810A8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961</Words>
  <Characters>1041</Characters>
  <Lines>9</Lines>
  <Paragraphs>2</Paragraphs>
  <TotalTime>13</TotalTime>
  <ScaleCrop>false</ScaleCrop>
  <LinksUpToDate>false</LinksUpToDate>
  <CharactersWithSpaces>1156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2021-09-01T02:21:00Z</dcterms:created>
  <dc:creator>何潇</dc:creator>
  <cp:lastModifiedBy>择三川</cp:lastModifiedBy>
  <cp:lastPrinted>2019-08-13T04:06:00Z</cp:lastPrinted>
  <dcterms:modified xsi:type="dcterms:W3CDTF">2026-05-13T01:51:08Z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2CDD995230F04060BE3F3007A0FB2AC1_13</vt:lpwstr>
  </property>
  <property fmtid="{D5CDD505-2E9C-101B-9397-08002B2CF9AE}" pid="4" name="KSOTemplateDocerSaveRecord">
    <vt:lpwstr>eyJoZGlkIjoiOTNjZGNiYzk2YTRhNjM0YTczOTVlY2QwM2YwNDQwZjMiLCJ1c2VySWQiOiI0NTgxNTE1ODQifQ==</vt:lpwstr>
  </property>
</Properties>
</file>