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贵州阳光产权交易所交易服务费收取标准须知             （资产处置类）</w:t>
      </w:r>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为了进一步推进贵州省产权交易市场的规范发展，建立有序竞争的市场秩序，规范各业务类型的收费行为，根据黔产权通[2020]10号，现就本所关于资产处置类服务费收取标准告知如下：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一、资产处置服务费</w:t>
      </w:r>
    </w:p>
    <w:p w14:paraId="509EF2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资产处置服务费根据成交额按差额定率累进法计算，具体标准如下：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6B7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4405AB0">
            <w:pPr>
              <w:spacing w:line="360" w:lineRule="auto"/>
              <w:rPr>
                <w:rFonts w:asciiTheme="minorEastAsia" w:hAnsiTheme="minorEastAsia"/>
                <w:sz w:val="24"/>
                <w:szCs w:val="24"/>
              </w:rPr>
            </w:pPr>
            <w:r>
              <w:rPr>
                <w:rFonts w:hint="eastAsia" w:asciiTheme="minorEastAsia" w:hAnsiTheme="minorEastAsia"/>
                <w:sz w:val="24"/>
                <w:szCs w:val="24"/>
              </w:rPr>
              <w:t xml:space="preserve">                 资产处置服务费 （计价基础：成交价）</w:t>
            </w:r>
          </w:p>
        </w:tc>
      </w:tr>
      <w:tr w14:paraId="594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CB2363F">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72696F62">
            <w:pPr>
              <w:spacing w:line="360" w:lineRule="auto"/>
              <w:rPr>
                <w:rFonts w:asciiTheme="minorEastAsia" w:hAnsiTheme="minorEastAsia"/>
                <w:sz w:val="24"/>
                <w:szCs w:val="24"/>
              </w:rPr>
            </w:pPr>
            <w:r>
              <w:rPr>
                <w:rFonts w:hint="eastAsia" w:asciiTheme="minorEastAsia" w:hAnsiTheme="minorEastAsia"/>
                <w:sz w:val="24"/>
                <w:szCs w:val="24"/>
              </w:rPr>
              <w:t xml:space="preserve">     费  率</w:t>
            </w:r>
          </w:p>
        </w:tc>
        <w:tc>
          <w:tcPr>
            <w:tcW w:w="3060" w:type="dxa"/>
            <w:tcBorders>
              <w:top w:val="single" w:color="auto" w:sz="4" w:space="0"/>
              <w:left w:val="single" w:color="auto" w:sz="4" w:space="0"/>
              <w:bottom w:val="single" w:color="auto" w:sz="4" w:space="0"/>
              <w:right w:val="single" w:color="auto" w:sz="4" w:space="0"/>
            </w:tcBorders>
          </w:tcPr>
          <w:p w14:paraId="76EC0681">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765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029135D">
            <w:pPr>
              <w:spacing w:line="360" w:lineRule="auto"/>
              <w:rPr>
                <w:rFonts w:asciiTheme="minorEastAsia" w:hAnsiTheme="minorEastAsia"/>
                <w:sz w:val="24"/>
                <w:szCs w:val="24"/>
              </w:rPr>
            </w:pPr>
            <w:r>
              <w:rPr>
                <w:rFonts w:hint="eastAsia" w:asciiTheme="minorEastAsia" w:hAnsiTheme="minorEastAsia"/>
                <w:sz w:val="24"/>
                <w:szCs w:val="24"/>
              </w:rPr>
              <w:t>1000（含）以下</w:t>
            </w:r>
          </w:p>
        </w:tc>
        <w:tc>
          <w:tcPr>
            <w:tcW w:w="2128" w:type="dxa"/>
            <w:tcBorders>
              <w:top w:val="single" w:color="auto" w:sz="4" w:space="0"/>
              <w:left w:val="single" w:color="auto" w:sz="4" w:space="0"/>
              <w:bottom w:val="single" w:color="auto" w:sz="4" w:space="0"/>
              <w:right w:val="single" w:color="auto" w:sz="4" w:space="0"/>
            </w:tcBorders>
          </w:tcPr>
          <w:p w14:paraId="29E4597B">
            <w:pPr>
              <w:spacing w:line="360" w:lineRule="auto"/>
              <w:rPr>
                <w:rFonts w:asciiTheme="minorEastAsia" w:hAnsiTheme="minorEastAsia"/>
                <w:sz w:val="24"/>
                <w:szCs w:val="24"/>
              </w:rPr>
            </w:pPr>
            <w:r>
              <w:rPr>
                <w:rFonts w:hint="eastAsia" w:asciiTheme="minorEastAsia" w:hAnsiTheme="minorEastAsia"/>
                <w:sz w:val="24"/>
                <w:szCs w:val="24"/>
              </w:rPr>
              <w:t xml:space="preserve">      2.0%</w:t>
            </w:r>
          </w:p>
        </w:tc>
        <w:tc>
          <w:tcPr>
            <w:tcW w:w="3060" w:type="dxa"/>
            <w:tcBorders>
              <w:top w:val="single" w:color="auto" w:sz="4" w:space="0"/>
              <w:left w:val="single" w:color="auto" w:sz="4" w:space="0"/>
              <w:bottom w:val="single" w:color="auto" w:sz="4" w:space="0"/>
              <w:right w:val="single" w:color="auto" w:sz="4" w:space="0"/>
            </w:tcBorders>
          </w:tcPr>
          <w:p w14:paraId="64263752">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受让方</w:t>
            </w:r>
          </w:p>
        </w:tc>
      </w:tr>
      <w:tr w14:paraId="230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B35A106">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8" w:type="dxa"/>
            <w:tcBorders>
              <w:top w:val="single" w:color="auto" w:sz="4" w:space="0"/>
              <w:left w:val="single" w:color="auto" w:sz="4" w:space="0"/>
              <w:bottom w:val="single" w:color="auto" w:sz="4" w:space="0"/>
              <w:right w:val="single" w:color="auto" w:sz="4" w:space="0"/>
            </w:tcBorders>
          </w:tcPr>
          <w:p w14:paraId="064F40C5">
            <w:pPr>
              <w:spacing w:line="360" w:lineRule="auto"/>
              <w:rPr>
                <w:rFonts w:asciiTheme="minorEastAsia" w:hAnsiTheme="minorEastAsia"/>
                <w:sz w:val="24"/>
                <w:szCs w:val="24"/>
              </w:rPr>
            </w:pPr>
            <w:r>
              <w:rPr>
                <w:rFonts w:hint="eastAsia" w:asciiTheme="minorEastAsia" w:hAnsiTheme="minorEastAsia"/>
                <w:sz w:val="24"/>
                <w:szCs w:val="24"/>
              </w:rPr>
              <w:t xml:space="preserve">      1.3%</w:t>
            </w:r>
          </w:p>
        </w:tc>
        <w:tc>
          <w:tcPr>
            <w:tcW w:w="3060" w:type="dxa"/>
            <w:tcBorders>
              <w:top w:val="single" w:color="auto" w:sz="4" w:space="0"/>
              <w:left w:val="single" w:color="auto" w:sz="4" w:space="0"/>
              <w:bottom w:val="single" w:color="auto" w:sz="4" w:space="0"/>
              <w:right w:val="single" w:color="auto" w:sz="4" w:space="0"/>
            </w:tcBorders>
          </w:tcPr>
          <w:p w14:paraId="0E89B6F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4CD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74FF9FD">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8" w:type="dxa"/>
            <w:tcBorders>
              <w:top w:val="single" w:color="auto" w:sz="4" w:space="0"/>
              <w:left w:val="single" w:color="auto" w:sz="4" w:space="0"/>
              <w:bottom w:val="single" w:color="auto" w:sz="4" w:space="0"/>
              <w:right w:val="single" w:color="auto" w:sz="4" w:space="0"/>
            </w:tcBorders>
          </w:tcPr>
          <w:p w14:paraId="60040A51">
            <w:pPr>
              <w:spacing w:line="360" w:lineRule="auto"/>
              <w:rPr>
                <w:rFonts w:asciiTheme="minorEastAsia" w:hAnsiTheme="minorEastAsia"/>
                <w:sz w:val="24"/>
                <w:szCs w:val="24"/>
              </w:rPr>
            </w:pPr>
            <w:r>
              <w:rPr>
                <w:rFonts w:hint="eastAsia" w:asciiTheme="minorEastAsia" w:hAnsiTheme="minorEastAsia"/>
                <w:sz w:val="24"/>
                <w:szCs w:val="24"/>
              </w:rPr>
              <w:t xml:space="preserve">      0.7%</w:t>
            </w:r>
          </w:p>
        </w:tc>
        <w:tc>
          <w:tcPr>
            <w:tcW w:w="3060" w:type="dxa"/>
            <w:tcBorders>
              <w:top w:val="single" w:color="auto" w:sz="4" w:space="0"/>
              <w:left w:val="single" w:color="auto" w:sz="4" w:space="0"/>
              <w:bottom w:val="single" w:color="auto" w:sz="4" w:space="0"/>
              <w:right w:val="single" w:color="auto" w:sz="4" w:space="0"/>
            </w:tcBorders>
          </w:tcPr>
          <w:p w14:paraId="56A3E32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1D5E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1E3DF46">
            <w:pPr>
              <w:spacing w:line="360" w:lineRule="auto"/>
              <w:rPr>
                <w:rFonts w:asciiTheme="minorEastAsia" w:hAnsiTheme="minorEastAsia"/>
                <w:sz w:val="24"/>
                <w:szCs w:val="24"/>
              </w:rPr>
            </w:pPr>
            <w:r>
              <w:rPr>
                <w:rFonts w:hint="eastAsia" w:asciiTheme="minorEastAsia" w:hAnsiTheme="minorEastAsia"/>
                <w:sz w:val="24"/>
                <w:szCs w:val="24"/>
              </w:rPr>
              <w:t>10000——50000（含）</w:t>
            </w:r>
          </w:p>
        </w:tc>
        <w:tc>
          <w:tcPr>
            <w:tcW w:w="2128" w:type="dxa"/>
            <w:tcBorders>
              <w:top w:val="single" w:color="auto" w:sz="4" w:space="0"/>
              <w:left w:val="single" w:color="auto" w:sz="4" w:space="0"/>
              <w:bottom w:val="single" w:color="auto" w:sz="4" w:space="0"/>
              <w:right w:val="single" w:color="auto" w:sz="4" w:space="0"/>
            </w:tcBorders>
          </w:tcPr>
          <w:p w14:paraId="5DFEFE22">
            <w:pPr>
              <w:spacing w:line="360" w:lineRule="auto"/>
              <w:rPr>
                <w:rFonts w:asciiTheme="minorEastAsia" w:hAnsiTheme="minorEastAsia"/>
                <w:sz w:val="24"/>
                <w:szCs w:val="24"/>
              </w:rPr>
            </w:pPr>
            <w:r>
              <w:rPr>
                <w:rFonts w:hint="eastAsia" w:asciiTheme="minorEastAsia" w:hAnsiTheme="minorEastAsia"/>
                <w:sz w:val="24"/>
                <w:szCs w:val="24"/>
              </w:rPr>
              <w:t xml:space="preserve">      0.4%</w:t>
            </w:r>
          </w:p>
        </w:tc>
        <w:tc>
          <w:tcPr>
            <w:tcW w:w="3060" w:type="dxa"/>
            <w:tcBorders>
              <w:top w:val="single" w:color="auto" w:sz="4" w:space="0"/>
              <w:left w:val="single" w:color="auto" w:sz="4" w:space="0"/>
              <w:bottom w:val="single" w:color="auto" w:sz="4" w:space="0"/>
              <w:right w:val="single" w:color="auto" w:sz="4" w:space="0"/>
            </w:tcBorders>
          </w:tcPr>
          <w:p w14:paraId="76E6972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2616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B5F63A7">
            <w:pPr>
              <w:spacing w:line="360" w:lineRule="auto"/>
              <w:rPr>
                <w:rFonts w:asciiTheme="minorEastAsia" w:hAnsiTheme="minorEastAsia"/>
                <w:sz w:val="24"/>
                <w:szCs w:val="24"/>
              </w:rPr>
            </w:pPr>
            <w:r>
              <w:rPr>
                <w:rFonts w:hint="eastAsia" w:asciiTheme="minorEastAsia" w:hAnsiTheme="minorEastAsia"/>
                <w:sz w:val="24"/>
                <w:szCs w:val="24"/>
              </w:rPr>
              <w:t>50000以上</w:t>
            </w:r>
          </w:p>
        </w:tc>
        <w:tc>
          <w:tcPr>
            <w:tcW w:w="2128" w:type="dxa"/>
            <w:tcBorders>
              <w:top w:val="single" w:color="auto" w:sz="4" w:space="0"/>
              <w:left w:val="single" w:color="auto" w:sz="4" w:space="0"/>
              <w:bottom w:val="single" w:color="auto" w:sz="4" w:space="0"/>
              <w:right w:val="single" w:color="auto" w:sz="4" w:space="0"/>
            </w:tcBorders>
          </w:tcPr>
          <w:p w14:paraId="292C6F11">
            <w:pPr>
              <w:spacing w:line="360" w:lineRule="auto"/>
              <w:rPr>
                <w:rFonts w:asciiTheme="minorEastAsia" w:hAnsiTheme="minorEastAsia"/>
                <w:sz w:val="24"/>
                <w:szCs w:val="24"/>
              </w:rPr>
            </w:pPr>
            <w:r>
              <w:rPr>
                <w:rFonts w:hint="eastAsia" w:asciiTheme="minorEastAsia" w:hAnsiTheme="minorEastAsia"/>
                <w:sz w:val="24"/>
                <w:szCs w:val="24"/>
              </w:rPr>
              <w:t xml:space="preserve">      0.2%</w:t>
            </w:r>
          </w:p>
        </w:tc>
        <w:tc>
          <w:tcPr>
            <w:tcW w:w="3060" w:type="dxa"/>
            <w:tcBorders>
              <w:top w:val="single" w:color="auto" w:sz="4" w:space="0"/>
              <w:left w:val="single" w:color="auto" w:sz="4" w:space="0"/>
              <w:bottom w:val="single" w:color="auto" w:sz="4" w:space="0"/>
              <w:right w:val="single" w:color="auto" w:sz="4" w:space="0"/>
            </w:tcBorders>
          </w:tcPr>
          <w:p w14:paraId="3704CAE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bl>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lang w:val="en-US" w:eastAsia="zh-CN"/>
        </w:rPr>
        <w:t>1、</w:t>
      </w:r>
      <w:r>
        <w:rPr>
          <w:rFonts w:hint="eastAsia" w:asciiTheme="minorEastAsia" w:hAnsiTheme="minorEastAsia"/>
          <w:sz w:val="24"/>
          <w:szCs w:val="24"/>
        </w:rPr>
        <w:t>按上述标准计算，资产处置交易服务费不足500元的按500元收取；2、竞价项目，除交纳资产处置服务费外，还须交纳本须知第二条之公开遴选服务费。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w:t>
      </w:r>
      <w:bookmarkStart w:id="0" w:name="_GoBack"/>
      <w:bookmarkEnd w:id="0"/>
      <w:r>
        <w:rPr>
          <w:rFonts w:hint="eastAsia" w:asciiTheme="minorEastAsia" w:hAnsiTheme="minorEastAsia"/>
          <w:sz w:val="24"/>
          <w:szCs w:val="24"/>
        </w:rPr>
        <w:t>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采取公开拍卖等方式的项目，按本须知规定的产（股）权交易服务收费标准向本所交纳服务费（以成交价计算）外，拍卖佣金由承担拍卖事务的拍卖中介另行收取。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受让方在收到贵州阳光产权交易所发出的成交结果通知书之日起7个工作日内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《贵州阳光产权交易所有限公司服务费收费标准》</w:t>
      </w:r>
      <w:r>
        <w:rPr>
          <w:rFonts w:hint="eastAsia" w:ascii="宋体" w:hAnsi="宋体" w:eastAsia="宋体" w:cs="宋体"/>
          <w:sz w:val="28"/>
          <w:szCs w:val="36"/>
        </w:rPr>
        <w:t>支付</w:t>
      </w:r>
      <w:r>
        <w:rPr>
          <w:rFonts w:hint="eastAsia" w:ascii="宋体" w:hAnsi="宋体" w:eastAsia="宋体" w:cs="宋体"/>
          <w:color w:val="FF0000"/>
          <w:sz w:val="28"/>
          <w:szCs w:val="36"/>
          <w:lang w:eastAsia="zh-CN"/>
        </w:rPr>
        <w:t>交易</w:t>
      </w:r>
      <w:r>
        <w:rPr>
          <w:rFonts w:hint="eastAsia" w:ascii="宋体" w:hAnsi="宋体" w:eastAsia="宋体" w:cs="宋体"/>
          <w:color w:val="FF0000"/>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550BB738">
      <w:pPr>
        <w:spacing w:line="360" w:lineRule="auto"/>
        <w:ind w:right="480"/>
        <w:rPr>
          <w:rFonts w:hint="eastAsia"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6C0FBA3A">
      <w:pPr>
        <w:spacing w:line="360" w:lineRule="auto"/>
        <w:ind w:right="480"/>
        <w:rPr>
          <w:rFonts w:hint="eastAsia" w:asciiTheme="minorEastAsia" w:hAnsiTheme="minorEastAsia"/>
          <w:sz w:val="24"/>
          <w:szCs w:val="24"/>
        </w:rPr>
      </w:pPr>
    </w:p>
    <w:p w14:paraId="4DFD9D44">
      <w:pPr>
        <w:spacing w:line="360" w:lineRule="auto"/>
        <w:ind w:right="480"/>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600CBCDB">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default" w:asciiTheme="minorEastAsia" w:hAnsiTheme="minorEastAsia" w:eastAsiaTheme="minorEastAsia"/>
          <w:sz w:val="24"/>
          <w:szCs w:val="24"/>
          <w:lang w:val="en-US" w:eastAsia="zh-CN"/>
        </w:rPr>
      </w:pPr>
      <w:r>
        <w:rPr>
          <w:rFonts w:hint="eastAsia" w:asciiTheme="minorEastAsia" w:hAnsiTheme="minorEastAsia"/>
          <w:sz w:val="24"/>
          <w:szCs w:val="24"/>
        </w:rPr>
        <w:t>委托代理人（签字或盖章）：</w:t>
      </w:r>
      <w:r>
        <w:rPr>
          <w:rFonts w:hint="eastAsia" w:asciiTheme="minorEastAsia" w:hAnsiTheme="minorEastAsia"/>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13246A80"/>
    <w:rsid w:val="192536F5"/>
    <w:rsid w:val="1EF526EC"/>
    <w:rsid w:val="25DB7DCF"/>
    <w:rsid w:val="28835A5C"/>
    <w:rsid w:val="28F05937"/>
    <w:rsid w:val="32544310"/>
    <w:rsid w:val="3CF50F70"/>
    <w:rsid w:val="42EE5965"/>
    <w:rsid w:val="4B024DD6"/>
    <w:rsid w:val="57342F92"/>
    <w:rsid w:val="5C071157"/>
    <w:rsid w:val="62BD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1107</Words>
  <Characters>1202</Characters>
  <Lines>9</Lines>
  <Paragraphs>2</Paragraphs>
  <TotalTime>6</TotalTime>
  <ScaleCrop>false</ScaleCrop>
  <LinksUpToDate>false</LinksUpToDate>
  <CharactersWithSpaces>1367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王熠</cp:lastModifiedBy>
  <cp:lastPrinted>2019-08-13T04:06:00Z</cp:lastPrinted>
  <dcterms:modified xsi:type="dcterms:W3CDTF">2026-03-10T05:50:19Z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2CDD995230F04060BE3F3007A0FB2AC1_13</vt:lpwstr>
  </property>
  <property fmtid="{D5CDD505-2E9C-101B-9397-08002B2CF9AE}" pid="4" name="KSOTemplateDocerSaveRecord">
    <vt:lpwstr>eyJoZGlkIjoiYWI5ZDMxMDlhYjA2NjNlNGU5YWJhMjNiN2QyNjJjOGMiLCJ1c2VySWQiOiI3MzM4NTY4MDAifQ==</vt:lpwstr>
  </property>
</Properties>
</file>