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4D87">
      <w:pPr>
        <w:jc w:val="center"/>
        <w:rPr>
          <w:rFonts w:hint="default" w:ascii="Times New Roman" w:hAnsi="Times New Roman" w:eastAsia="方正仿宋_GB2312" w:cs="Times New Roman"/>
          <w:color w:val="auto"/>
          <w:sz w:val="32"/>
          <w:szCs w:val="32"/>
          <w:highlight w:val="none"/>
        </w:rPr>
      </w:pPr>
    </w:p>
    <w:p w14:paraId="54D304B7">
      <w:pPr>
        <w:jc w:val="center"/>
        <w:rPr>
          <w:rFonts w:hint="default" w:ascii="Times New Roman" w:hAnsi="Times New Roman" w:eastAsia="方正仿宋_GB2312" w:cs="Times New Roman"/>
          <w:color w:val="auto"/>
          <w:sz w:val="32"/>
          <w:szCs w:val="32"/>
          <w:highlight w:val="none"/>
        </w:rPr>
      </w:pPr>
    </w:p>
    <w:p w14:paraId="21D1F60C">
      <w:pPr>
        <w:jc w:val="center"/>
        <w:rPr>
          <w:rFonts w:hint="default" w:ascii="Times New Roman" w:hAnsi="Times New Roman" w:eastAsia="方正公文小标宋" w:cs="Times New Roman"/>
          <w:color w:val="auto"/>
          <w:sz w:val="60"/>
          <w:szCs w:val="60"/>
          <w:highlight w:val="none"/>
        </w:rPr>
      </w:pPr>
      <w:r>
        <w:rPr>
          <w:rFonts w:hint="default" w:ascii="Times New Roman" w:hAnsi="Times New Roman" w:eastAsia="方正公文小标宋" w:cs="Times New Roman"/>
          <w:color w:val="auto"/>
          <w:sz w:val="60"/>
          <w:szCs w:val="60"/>
          <w:highlight w:val="none"/>
        </w:rPr>
        <w:t>成品粮油储备委托储存协议书</w:t>
      </w:r>
    </w:p>
    <w:p w14:paraId="2A067904">
      <w:pPr>
        <w:rPr>
          <w:rFonts w:hint="default" w:ascii="Times New Roman" w:hAnsi="Times New Roman" w:eastAsia="方正公文小标宋" w:cs="Times New Roman"/>
          <w:color w:val="auto"/>
          <w:sz w:val="44"/>
          <w:szCs w:val="44"/>
          <w:highlight w:val="none"/>
        </w:rPr>
      </w:pPr>
    </w:p>
    <w:p w14:paraId="1833553D">
      <w:pPr>
        <w:rPr>
          <w:rFonts w:hint="default" w:ascii="Times New Roman" w:hAnsi="Times New Roman" w:eastAsia="方正仿宋_GB2312" w:cs="Times New Roman"/>
          <w:color w:val="auto"/>
          <w:sz w:val="32"/>
          <w:szCs w:val="32"/>
          <w:highlight w:val="none"/>
        </w:rPr>
      </w:pPr>
    </w:p>
    <w:p w14:paraId="62C9D54F">
      <w:pPr>
        <w:rPr>
          <w:rFonts w:hint="default" w:ascii="Times New Roman" w:hAnsi="Times New Roman" w:eastAsia="方正仿宋_GB2312" w:cs="Times New Roman"/>
          <w:color w:val="auto"/>
          <w:sz w:val="32"/>
          <w:szCs w:val="32"/>
          <w:highlight w:val="none"/>
        </w:rPr>
      </w:pPr>
    </w:p>
    <w:p w14:paraId="4F0EF1CF">
      <w:pPr>
        <w:rPr>
          <w:rFonts w:hint="default" w:ascii="Times New Roman" w:hAnsi="Times New Roman" w:eastAsia="方正仿宋_GB2312" w:cs="Times New Roman"/>
          <w:color w:val="auto"/>
          <w:sz w:val="32"/>
          <w:szCs w:val="32"/>
          <w:highlight w:val="none"/>
        </w:rPr>
      </w:pPr>
    </w:p>
    <w:p w14:paraId="303A6602">
      <w:pPr>
        <w:rPr>
          <w:rFonts w:hint="default" w:ascii="Times New Roman" w:hAnsi="Times New Roman" w:eastAsia="方正仿宋_GB2312" w:cs="Times New Roman"/>
          <w:color w:val="auto"/>
          <w:sz w:val="32"/>
          <w:szCs w:val="32"/>
          <w:highlight w:val="none"/>
        </w:rPr>
      </w:pPr>
    </w:p>
    <w:p w14:paraId="03034F0E">
      <w:pPr>
        <w:rPr>
          <w:rFonts w:hint="default" w:ascii="Times New Roman" w:hAnsi="Times New Roman" w:eastAsia="方正仿宋_GB2312" w:cs="Times New Roman"/>
          <w:color w:val="auto"/>
          <w:sz w:val="32"/>
          <w:szCs w:val="32"/>
          <w:highlight w:val="none"/>
        </w:rPr>
      </w:pPr>
    </w:p>
    <w:p w14:paraId="4FA498A2">
      <w:pPr>
        <w:rPr>
          <w:rFonts w:hint="default" w:ascii="Times New Roman" w:hAnsi="Times New Roman" w:eastAsia="方正仿宋_GB2312" w:cs="Times New Roman"/>
          <w:color w:val="auto"/>
          <w:sz w:val="32"/>
          <w:szCs w:val="32"/>
          <w:highlight w:val="none"/>
        </w:rPr>
      </w:pPr>
    </w:p>
    <w:p w14:paraId="7385C564">
      <w:pPr>
        <w:rPr>
          <w:rFonts w:hint="default" w:ascii="Times New Roman" w:hAnsi="Times New Roman" w:eastAsia="方正仿宋_GB2312" w:cs="Times New Roman"/>
          <w:color w:val="auto"/>
          <w:sz w:val="32"/>
          <w:szCs w:val="32"/>
          <w:highlight w:val="none"/>
        </w:rPr>
      </w:pPr>
    </w:p>
    <w:p w14:paraId="4CC8CC2A">
      <w:pPr>
        <w:rPr>
          <w:rFonts w:hint="default" w:ascii="Times New Roman" w:hAnsi="Times New Roman" w:eastAsia="方正仿宋_GB2312" w:cs="Times New Roman"/>
          <w:color w:val="auto"/>
          <w:sz w:val="32"/>
          <w:szCs w:val="32"/>
          <w:highlight w:val="none"/>
        </w:rPr>
      </w:pPr>
    </w:p>
    <w:p w14:paraId="774FEC98">
      <w:pPr>
        <w:rPr>
          <w:rFonts w:hint="default" w:ascii="Times New Roman" w:hAnsi="Times New Roman" w:eastAsia="方正仿宋_GB2312" w:cs="Times New Roman"/>
          <w:color w:val="auto"/>
          <w:sz w:val="32"/>
          <w:szCs w:val="32"/>
          <w:highlight w:val="none"/>
        </w:rPr>
      </w:pPr>
    </w:p>
    <w:p w14:paraId="4AEE9B64">
      <w:pPr>
        <w:rPr>
          <w:rFonts w:hint="default" w:ascii="Times New Roman" w:hAnsi="Times New Roman" w:eastAsia="方正仿宋_GB2312" w:cs="Times New Roman"/>
          <w:color w:val="auto"/>
          <w:sz w:val="32"/>
          <w:szCs w:val="32"/>
          <w:highlight w:val="none"/>
        </w:rPr>
      </w:pPr>
    </w:p>
    <w:p w14:paraId="28B86139">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合同编号：CB-202506-DC-011</w:t>
      </w:r>
    </w:p>
    <w:p w14:paraId="66732AF8">
      <w:pPr>
        <w:rPr>
          <w:rFonts w:hint="eastAsia" w:ascii="仿宋_GB2312" w:hAnsi="仿宋_GB2312" w:eastAsia="仿宋_GB2312" w:cs="仿宋_GB2312"/>
          <w:b w:val="0"/>
          <w:bCs w:val="0"/>
          <w:color w:val="auto"/>
          <w:sz w:val="32"/>
          <w:szCs w:val="32"/>
          <w:highlight w:val="none"/>
        </w:rPr>
      </w:pPr>
    </w:p>
    <w:p w14:paraId="212CE361">
      <w:pPr>
        <w:rPr>
          <w:rFonts w:hint="eastAsia" w:ascii="仿宋_GB2312" w:hAnsi="仿宋_GB2312" w:eastAsia="仿宋_GB2312" w:cs="仿宋_GB2312"/>
          <w:b w:val="0"/>
          <w:bCs w:val="0"/>
          <w:color w:val="auto"/>
          <w:sz w:val="32"/>
          <w:szCs w:val="32"/>
          <w:highlight w:val="none"/>
        </w:rPr>
      </w:pPr>
    </w:p>
    <w:p w14:paraId="22911237">
      <w:pPr>
        <w:rPr>
          <w:rFonts w:hint="eastAsia" w:ascii="仿宋_GB2312" w:hAnsi="仿宋_GB2312" w:eastAsia="仿宋_GB2312" w:cs="仿宋_GB2312"/>
          <w:b w:val="0"/>
          <w:bCs w:val="0"/>
          <w:color w:val="auto"/>
          <w:sz w:val="32"/>
          <w:szCs w:val="32"/>
          <w:highlight w:val="none"/>
        </w:rPr>
      </w:pPr>
    </w:p>
    <w:p w14:paraId="2B4B3A5A">
      <w:pPr>
        <w:rPr>
          <w:rFonts w:hint="eastAsia" w:ascii="仿宋_GB2312" w:hAnsi="仿宋_GB2312" w:eastAsia="仿宋_GB2312" w:cs="仿宋_GB2312"/>
          <w:b w:val="0"/>
          <w:bCs w:val="0"/>
          <w:color w:val="auto"/>
          <w:sz w:val="32"/>
          <w:szCs w:val="32"/>
          <w:highlight w:val="none"/>
        </w:rPr>
      </w:pPr>
    </w:p>
    <w:p w14:paraId="770BE648">
      <w:pPr>
        <w:rPr>
          <w:rFonts w:hint="eastAsia" w:ascii="仿宋_GB2312" w:hAnsi="仿宋_GB2312" w:eastAsia="仿宋_GB2312" w:cs="仿宋_GB2312"/>
          <w:b w:val="0"/>
          <w:bCs w:val="0"/>
          <w:color w:val="auto"/>
          <w:sz w:val="32"/>
          <w:szCs w:val="32"/>
          <w:highlight w:val="none"/>
        </w:rPr>
      </w:pPr>
    </w:p>
    <w:p w14:paraId="4973344C">
      <w:pPr>
        <w:rPr>
          <w:rFonts w:hint="eastAsia" w:ascii="仿宋_GB2312" w:hAnsi="仿宋_GB2312" w:eastAsia="仿宋_GB2312" w:cs="仿宋_GB2312"/>
          <w:b w:val="0"/>
          <w:bCs w:val="0"/>
          <w:color w:val="auto"/>
          <w:sz w:val="32"/>
          <w:szCs w:val="32"/>
          <w:highlight w:val="none"/>
        </w:rPr>
      </w:pPr>
    </w:p>
    <w:p w14:paraId="6F120EBB">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甲方：贵阳市粮食储备管理有限公司</w:t>
      </w:r>
    </w:p>
    <w:p w14:paraId="72E27CA7">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住所地：贵州省贵阳市花溪区西南粮食城</w:t>
      </w:r>
    </w:p>
    <w:p w14:paraId="7F81A4EF">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法定代表人：胡涛</w:t>
      </w:r>
    </w:p>
    <w:p w14:paraId="450CD02E">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统一社会信用代码：</w:t>
      </w:r>
    </w:p>
    <w:p w14:paraId="04710D09">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    </w:t>
      </w:r>
    </w:p>
    <w:p w14:paraId="338E409E">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乙方：</w:t>
      </w:r>
    </w:p>
    <w:p w14:paraId="4C9F4115">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住所地：</w:t>
      </w:r>
    </w:p>
    <w:p w14:paraId="1D328B06">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w:t>
      </w:r>
    </w:p>
    <w:p w14:paraId="73C9BB3F">
      <w:pP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统一社会信用代码：</w:t>
      </w:r>
    </w:p>
    <w:p w14:paraId="533A0ABC">
      <w:pPr>
        <w:ind w:firstLine="640" w:firstLineChars="200"/>
        <w:rPr>
          <w:rFonts w:hint="default" w:ascii="Times New Roman" w:hAnsi="Times New Roman" w:eastAsia="方正仿宋_GB2312" w:cs="Times New Roman"/>
          <w:color w:val="auto"/>
          <w:sz w:val="32"/>
          <w:szCs w:val="32"/>
          <w:highlight w:val="none"/>
        </w:rPr>
      </w:pPr>
    </w:p>
    <w:p w14:paraId="5A716ED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根据《贵阳市市级成品粮油储备管理实施细则》和《贵阳市粮食储备管理有限公司市级成品粮油储备管理制度》的要求，甲方委托乙方负责</w:t>
      </w:r>
      <w:r>
        <w:rPr>
          <w:rFonts w:hint="eastAsia" w:ascii="仿宋_GB2312" w:hAnsi="仿宋_GB2312" w:eastAsia="仿宋_GB2312" w:cs="仿宋_GB2312"/>
          <w:color w:val="auto"/>
          <w:sz w:val="32"/>
          <w:szCs w:val="32"/>
          <w:highlight w:val="none"/>
          <w:lang w:val="en-US" w:eastAsia="zh-CN"/>
        </w:rPr>
        <w:t>XX</w:t>
      </w:r>
      <w:r>
        <w:rPr>
          <w:rFonts w:hint="eastAsia" w:ascii="仿宋_GB2312" w:hAnsi="仿宋_GB2312" w:eastAsia="仿宋_GB2312" w:cs="仿宋_GB2312"/>
          <w:color w:val="auto"/>
          <w:sz w:val="32"/>
          <w:szCs w:val="32"/>
          <w:highlight w:val="none"/>
        </w:rPr>
        <w:t>吨市级储备</w:t>
      </w:r>
      <w:r>
        <w:rPr>
          <w:rFonts w:hint="eastAsia" w:ascii="仿宋" w:hAnsi="仿宋" w:eastAsia="仿宋" w:cs="仿宋"/>
          <w:color w:val="auto"/>
          <w:sz w:val="32"/>
          <w:szCs w:val="32"/>
          <w:highlight w:val="none"/>
          <w:lang w:val="en-US" w:eastAsia="zh-CN"/>
        </w:rPr>
        <w:t>成品大米</w:t>
      </w:r>
      <w:r>
        <w:rPr>
          <w:rFonts w:hint="eastAsia" w:ascii="仿宋_GB2312" w:hAnsi="仿宋_GB2312" w:eastAsia="仿宋_GB2312" w:cs="仿宋_GB2312"/>
          <w:color w:val="auto"/>
          <w:sz w:val="32"/>
          <w:szCs w:val="32"/>
          <w:highlight w:val="none"/>
        </w:rPr>
        <w:t>的代储及动态轮换服务。为明确双方的权利和义务，确保市级储备成品</w:t>
      </w:r>
      <w:r>
        <w:rPr>
          <w:rFonts w:hint="eastAsia" w:ascii="仿宋_GB2312" w:hAnsi="仿宋_GB2312" w:eastAsia="仿宋_GB2312" w:cs="仿宋_GB2312"/>
          <w:color w:val="auto"/>
          <w:sz w:val="32"/>
          <w:szCs w:val="32"/>
          <w:highlight w:val="none"/>
          <w:lang w:val="en-US" w:eastAsia="zh-CN"/>
        </w:rPr>
        <w:t>油</w:t>
      </w:r>
      <w:r>
        <w:rPr>
          <w:rFonts w:hint="eastAsia" w:ascii="仿宋_GB2312" w:hAnsi="仿宋_GB2312" w:eastAsia="仿宋_GB2312" w:cs="仿宋_GB2312"/>
          <w:color w:val="auto"/>
          <w:sz w:val="32"/>
          <w:szCs w:val="32"/>
          <w:highlight w:val="none"/>
        </w:rPr>
        <w:t>的数量真实、质量良好、储存安全、资金安全，经双方协商一致，签订本协议。</w:t>
      </w:r>
    </w:p>
    <w:p w14:paraId="2C8EECA9">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一、代储品种基本情况及要求</w:t>
      </w:r>
    </w:p>
    <w:tbl>
      <w:tblPr>
        <w:tblStyle w:val="89"/>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89"/>
        <w:gridCol w:w="6034"/>
        <w:gridCol w:w="1033"/>
      </w:tblGrid>
      <w:tr w14:paraId="3235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9" w:type="dxa"/>
          </w:tcPr>
          <w:p w14:paraId="51E782FC">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序号</w:t>
            </w:r>
          </w:p>
        </w:tc>
        <w:tc>
          <w:tcPr>
            <w:tcW w:w="1289" w:type="dxa"/>
          </w:tcPr>
          <w:p w14:paraId="4D6D5ABF">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类别</w:t>
            </w:r>
          </w:p>
        </w:tc>
        <w:tc>
          <w:tcPr>
            <w:tcW w:w="6034" w:type="dxa"/>
          </w:tcPr>
          <w:p w14:paraId="1304AFB7">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具体要求</w:t>
            </w:r>
          </w:p>
        </w:tc>
        <w:tc>
          <w:tcPr>
            <w:tcW w:w="1033" w:type="dxa"/>
          </w:tcPr>
          <w:p w14:paraId="4AB7AD21">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备注</w:t>
            </w:r>
          </w:p>
        </w:tc>
      </w:tr>
      <w:tr w14:paraId="3CBF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9" w:type="dxa"/>
          </w:tcPr>
          <w:p w14:paraId="736534EA">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p>
        </w:tc>
        <w:tc>
          <w:tcPr>
            <w:tcW w:w="1289" w:type="dxa"/>
          </w:tcPr>
          <w:p w14:paraId="32026B4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数量</w:t>
            </w:r>
          </w:p>
        </w:tc>
        <w:tc>
          <w:tcPr>
            <w:tcW w:w="6034" w:type="dxa"/>
          </w:tcPr>
          <w:p w14:paraId="35D4B7B4">
            <w:pPr>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XX</w:t>
            </w:r>
            <w:r>
              <w:rPr>
                <w:rFonts w:hint="eastAsia" w:ascii="楷体" w:hAnsi="楷体" w:eastAsia="楷体" w:cs="楷体"/>
                <w:color w:val="auto"/>
                <w:sz w:val="24"/>
                <w:highlight w:val="none"/>
              </w:rPr>
              <w:t>吨</w:t>
            </w:r>
          </w:p>
        </w:tc>
        <w:tc>
          <w:tcPr>
            <w:tcW w:w="1033" w:type="dxa"/>
          </w:tcPr>
          <w:p w14:paraId="17D9CCE3">
            <w:pPr>
              <w:rPr>
                <w:rFonts w:hint="default" w:ascii="Times New Roman" w:hAnsi="Times New Roman" w:cs="Times New Roman"/>
                <w:color w:val="auto"/>
                <w:highlight w:val="none"/>
              </w:rPr>
            </w:pPr>
          </w:p>
        </w:tc>
      </w:tr>
      <w:tr w14:paraId="7146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151AD7F4">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p>
        </w:tc>
        <w:tc>
          <w:tcPr>
            <w:tcW w:w="1289" w:type="dxa"/>
          </w:tcPr>
          <w:p w14:paraId="05C0E29F">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品种</w:t>
            </w:r>
          </w:p>
        </w:tc>
        <w:tc>
          <w:tcPr>
            <w:tcW w:w="6034" w:type="dxa"/>
          </w:tcPr>
          <w:p w14:paraId="4E825EA8">
            <w:pP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粳米</w:t>
            </w:r>
          </w:p>
        </w:tc>
        <w:tc>
          <w:tcPr>
            <w:tcW w:w="1033" w:type="dxa"/>
          </w:tcPr>
          <w:p w14:paraId="6675E8B6">
            <w:pPr>
              <w:rPr>
                <w:rFonts w:hint="default" w:ascii="Times New Roman" w:hAnsi="Times New Roman" w:cs="Times New Roman"/>
                <w:color w:val="auto"/>
                <w:highlight w:val="none"/>
              </w:rPr>
            </w:pPr>
          </w:p>
        </w:tc>
      </w:tr>
      <w:tr w14:paraId="2D60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08FBD0D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3</w:t>
            </w:r>
          </w:p>
        </w:tc>
        <w:tc>
          <w:tcPr>
            <w:tcW w:w="1289" w:type="dxa"/>
          </w:tcPr>
          <w:p w14:paraId="16865DF6">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产地</w:t>
            </w:r>
          </w:p>
        </w:tc>
        <w:tc>
          <w:tcPr>
            <w:tcW w:w="6034" w:type="dxa"/>
          </w:tcPr>
          <w:p w14:paraId="565A5A82">
            <w:pPr>
              <w:rPr>
                <w:rFonts w:hint="eastAsia" w:ascii="楷体" w:hAnsi="楷体" w:eastAsia="楷体" w:cs="楷体"/>
                <w:color w:val="auto"/>
                <w:sz w:val="24"/>
                <w:highlight w:val="none"/>
              </w:rPr>
            </w:pPr>
            <w:r>
              <w:rPr>
                <w:rFonts w:hint="eastAsia" w:ascii="楷体" w:hAnsi="楷体" w:eastAsia="楷体" w:cs="楷体"/>
                <w:color w:val="auto"/>
                <w:sz w:val="24"/>
                <w:highlight w:val="none"/>
              </w:rPr>
              <w:t>国内</w:t>
            </w:r>
          </w:p>
        </w:tc>
        <w:tc>
          <w:tcPr>
            <w:tcW w:w="1033" w:type="dxa"/>
          </w:tcPr>
          <w:p w14:paraId="4705BB28">
            <w:pPr>
              <w:rPr>
                <w:rFonts w:hint="default" w:ascii="Times New Roman" w:hAnsi="Times New Roman" w:cs="Times New Roman"/>
                <w:color w:val="auto"/>
                <w:highlight w:val="none"/>
              </w:rPr>
            </w:pPr>
          </w:p>
        </w:tc>
      </w:tr>
      <w:tr w14:paraId="1707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6CFEB850">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4</w:t>
            </w:r>
          </w:p>
        </w:tc>
        <w:tc>
          <w:tcPr>
            <w:tcW w:w="1289" w:type="dxa"/>
          </w:tcPr>
          <w:p w14:paraId="000A9810">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等级</w:t>
            </w:r>
          </w:p>
        </w:tc>
        <w:tc>
          <w:tcPr>
            <w:tcW w:w="6034" w:type="dxa"/>
          </w:tcPr>
          <w:p w14:paraId="34CE6068">
            <w:pPr>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国标二级及以上（不得低于综合验收时大米的等级）</w:t>
            </w:r>
          </w:p>
        </w:tc>
        <w:tc>
          <w:tcPr>
            <w:tcW w:w="1033" w:type="dxa"/>
          </w:tcPr>
          <w:p w14:paraId="215B1DDB">
            <w:pPr>
              <w:rPr>
                <w:rFonts w:hint="default" w:ascii="Times New Roman" w:hAnsi="Times New Roman" w:cs="Times New Roman"/>
                <w:color w:val="auto"/>
                <w:highlight w:val="none"/>
              </w:rPr>
            </w:pPr>
          </w:p>
        </w:tc>
      </w:tr>
      <w:tr w14:paraId="5868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09" w:type="dxa"/>
          </w:tcPr>
          <w:p w14:paraId="28266E2A">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5</w:t>
            </w:r>
          </w:p>
        </w:tc>
        <w:tc>
          <w:tcPr>
            <w:tcW w:w="1289" w:type="dxa"/>
          </w:tcPr>
          <w:p w14:paraId="7628936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规格及标准</w:t>
            </w:r>
          </w:p>
        </w:tc>
        <w:tc>
          <w:tcPr>
            <w:tcW w:w="6034" w:type="dxa"/>
          </w:tcPr>
          <w:p w14:paraId="2F5CE155">
            <w:pPr>
              <w:rPr>
                <w:rFonts w:hint="eastAsia" w:ascii="楷体" w:hAnsi="楷体" w:eastAsia="楷体" w:cs="楷体"/>
                <w:color w:val="auto"/>
                <w:sz w:val="24"/>
                <w:highlight w:val="none"/>
              </w:rPr>
            </w:pPr>
            <w:r>
              <w:rPr>
                <w:rFonts w:hint="eastAsia" w:ascii="Times New Roman" w:hAnsi="Times New Roman" w:eastAsia="楷体" w:cs="Times New Roman"/>
                <w:color w:val="auto"/>
                <w:sz w:val="24"/>
                <w:szCs w:val="24"/>
                <w:highlight w:val="none"/>
                <w:lang w:val="en-US" w:eastAsia="zh-CN"/>
              </w:rPr>
              <w:t>25KG</w:t>
            </w:r>
            <w:r>
              <w:rPr>
                <w:rFonts w:hint="default" w:ascii="Times New Roman" w:hAnsi="Times New Roman" w:eastAsia="楷体" w:cs="Times New Roman"/>
                <w:color w:val="auto"/>
                <w:sz w:val="24"/>
                <w:szCs w:val="24"/>
                <w:highlight w:val="none"/>
              </w:rPr>
              <w:t>/</w:t>
            </w:r>
            <w:r>
              <w:rPr>
                <w:rFonts w:hint="eastAsia" w:ascii="Times New Roman" w:hAnsi="Times New Roman" w:eastAsia="楷体" w:cs="Times New Roman"/>
                <w:color w:val="auto"/>
                <w:sz w:val="24"/>
                <w:szCs w:val="24"/>
                <w:highlight w:val="none"/>
                <w:lang w:eastAsia="zh-CN"/>
              </w:rPr>
              <w:t>包</w:t>
            </w:r>
            <w:r>
              <w:rPr>
                <w:rFonts w:hint="default" w:ascii="Times New Roman" w:hAnsi="Times New Roman" w:eastAsia="楷体" w:cs="Times New Roman"/>
                <w:color w:val="auto"/>
                <w:sz w:val="24"/>
                <w:szCs w:val="24"/>
                <w:highlight w:val="none"/>
              </w:rPr>
              <w:t>及以下，</w:t>
            </w:r>
            <w:r>
              <w:rPr>
                <w:rFonts w:hint="default" w:ascii="Times New Roman" w:hAnsi="Times New Roman" w:eastAsia="楷体" w:cs="Times New Roman"/>
                <w:color w:val="auto"/>
                <w:sz w:val="24"/>
                <w:szCs w:val="24"/>
                <w:highlight w:val="none"/>
                <w:lang w:val="en-US" w:eastAsia="zh-CN"/>
              </w:rPr>
              <w:t>要求</w:t>
            </w:r>
            <w:r>
              <w:rPr>
                <w:rFonts w:hint="default" w:ascii="Times New Roman" w:hAnsi="Times New Roman" w:eastAsia="楷体" w:cs="Times New Roman"/>
                <w:color w:val="auto"/>
                <w:sz w:val="24"/>
                <w:szCs w:val="24"/>
                <w:highlight w:val="none"/>
              </w:rPr>
              <w:t>注明品种名称、等级、净含量、执行标准、生产日期、保质期、生产企业名称和地址等。</w:t>
            </w:r>
          </w:p>
        </w:tc>
        <w:tc>
          <w:tcPr>
            <w:tcW w:w="1033" w:type="dxa"/>
          </w:tcPr>
          <w:p w14:paraId="32809990">
            <w:pPr>
              <w:rPr>
                <w:rFonts w:hint="default" w:ascii="Times New Roman" w:hAnsi="Times New Roman" w:cs="Times New Roman"/>
                <w:color w:val="auto"/>
                <w:highlight w:val="none"/>
              </w:rPr>
            </w:pPr>
          </w:p>
        </w:tc>
      </w:tr>
      <w:tr w14:paraId="512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09" w:type="dxa"/>
          </w:tcPr>
          <w:p w14:paraId="080DD41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5</w:t>
            </w:r>
          </w:p>
        </w:tc>
        <w:tc>
          <w:tcPr>
            <w:tcW w:w="1289" w:type="dxa"/>
          </w:tcPr>
          <w:p w14:paraId="6A2846C1">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质量要求</w:t>
            </w:r>
          </w:p>
        </w:tc>
        <w:tc>
          <w:tcPr>
            <w:tcW w:w="6034" w:type="dxa"/>
          </w:tcPr>
          <w:p w14:paraId="279FEA1D">
            <w:pPr>
              <w:rPr>
                <w:rFonts w:hint="eastAsia" w:ascii="楷体" w:hAnsi="楷体" w:eastAsia="楷体" w:cs="楷体"/>
                <w:color w:val="auto"/>
                <w:sz w:val="24"/>
                <w:highlight w:val="none"/>
              </w:rPr>
            </w:pPr>
            <w:r>
              <w:rPr>
                <w:rFonts w:hint="eastAsia" w:ascii="楷体" w:hAnsi="楷体" w:eastAsia="楷体" w:cs="楷体"/>
                <w:sz w:val="24"/>
                <w:szCs w:val="24"/>
                <w:highlight w:val="none"/>
              </w:rPr>
              <w:t>各项常规质量指标应当符合国家标准要求，食品安全指标符合食品安全国家标准限量规定，包装物和标签标识应当符合国家标准要求。</w:t>
            </w:r>
          </w:p>
        </w:tc>
        <w:tc>
          <w:tcPr>
            <w:tcW w:w="1033" w:type="dxa"/>
          </w:tcPr>
          <w:p w14:paraId="431CEADF">
            <w:pPr>
              <w:rPr>
                <w:rFonts w:hint="default" w:ascii="Times New Roman" w:hAnsi="Times New Roman" w:cs="Times New Roman"/>
                <w:color w:val="auto"/>
                <w:highlight w:val="none"/>
              </w:rPr>
            </w:pPr>
          </w:p>
        </w:tc>
      </w:tr>
      <w:tr w14:paraId="2343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tcPr>
          <w:p w14:paraId="35E3DDBD">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6</w:t>
            </w:r>
          </w:p>
        </w:tc>
        <w:tc>
          <w:tcPr>
            <w:tcW w:w="1289" w:type="dxa"/>
          </w:tcPr>
          <w:p w14:paraId="4FB4B9CB">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运输要求</w:t>
            </w:r>
          </w:p>
        </w:tc>
        <w:tc>
          <w:tcPr>
            <w:tcW w:w="6034" w:type="dxa"/>
          </w:tcPr>
          <w:p w14:paraId="4433031A">
            <w:pPr>
              <w:rPr>
                <w:rFonts w:hint="eastAsia" w:ascii="楷体" w:hAnsi="楷体" w:eastAsia="楷体" w:cs="楷体"/>
                <w:color w:val="auto"/>
                <w:sz w:val="24"/>
                <w:highlight w:val="none"/>
              </w:rPr>
            </w:pPr>
            <w:r>
              <w:rPr>
                <w:rFonts w:hint="eastAsia" w:ascii="楷体" w:hAnsi="楷体" w:eastAsia="楷体" w:cs="楷体"/>
                <w:color w:val="auto"/>
                <w:sz w:val="24"/>
                <w:highlight w:val="none"/>
              </w:rPr>
              <w:t>严格执行《粮食运输技术指南（试行》等国家粮油运输技术规范，不得使用被污染的运输载具（火车皮、车辆、包装物、油罐、铺垫物等）装运粮油，不得与有毒有害物质混装运输。</w:t>
            </w:r>
          </w:p>
        </w:tc>
        <w:tc>
          <w:tcPr>
            <w:tcW w:w="1033" w:type="dxa"/>
          </w:tcPr>
          <w:p w14:paraId="24F264A1">
            <w:pPr>
              <w:rPr>
                <w:rFonts w:hint="default" w:ascii="Times New Roman" w:hAnsi="Times New Roman" w:cs="Times New Roman"/>
                <w:color w:val="auto"/>
                <w:highlight w:val="none"/>
              </w:rPr>
            </w:pPr>
          </w:p>
        </w:tc>
      </w:tr>
      <w:tr w14:paraId="5FAC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9" w:type="dxa"/>
          </w:tcPr>
          <w:p w14:paraId="52E17109">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rPr>
              <w:t>7</w:t>
            </w:r>
          </w:p>
        </w:tc>
        <w:tc>
          <w:tcPr>
            <w:tcW w:w="1289" w:type="dxa"/>
          </w:tcPr>
          <w:p w14:paraId="196EC048">
            <w:pPr>
              <w:rPr>
                <w:rFonts w:hint="eastAsia" w:ascii="楷体" w:hAnsi="楷体" w:eastAsia="楷体" w:cs="楷体"/>
                <w:color w:val="auto"/>
                <w:sz w:val="24"/>
                <w:highlight w:val="none"/>
              </w:rPr>
            </w:pPr>
            <w:r>
              <w:rPr>
                <w:rFonts w:hint="eastAsia" w:ascii="楷体" w:hAnsi="楷体" w:eastAsia="楷体" w:cs="楷体"/>
                <w:color w:val="auto"/>
                <w:sz w:val="24"/>
                <w:highlight w:val="none"/>
              </w:rPr>
              <w:t>储存地点</w:t>
            </w:r>
          </w:p>
        </w:tc>
        <w:tc>
          <w:tcPr>
            <w:tcW w:w="6034" w:type="dxa"/>
          </w:tcPr>
          <w:p w14:paraId="49ABAE6B">
            <w:pPr>
              <w:rPr>
                <w:rFonts w:hint="eastAsia" w:ascii="楷体" w:hAnsi="楷体" w:eastAsia="楷体" w:cs="楷体"/>
                <w:color w:val="auto"/>
                <w:sz w:val="24"/>
                <w:highlight w:val="none"/>
                <w:lang w:eastAsia="zh-CN"/>
              </w:rPr>
            </w:pPr>
          </w:p>
        </w:tc>
        <w:tc>
          <w:tcPr>
            <w:tcW w:w="1033" w:type="dxa"/>
          </w:tcPr>
          <w:p w14:paraId="00138669">
            <w:pPr>
              <w:rPr>
                <w:rFonts w:hint="default" w:ascii="Times New Roman" w:hAnsi="Times New Roman" w:cs="Times New Roman"/>
                <w:color w:val="auto"/>
                <w:highlight w:val="none"/>
              </w:rPr>
            </w:pPr>
          </w:p>
        </w:tc>
      </w:tr>
    </w:tbl>
    <w:p w14:paraId="66773CFA">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二、合作期限</w:t>
      </w:r>
    </w:p>
    <w:p w14:paraId="540B9C5C">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本协议合作</w:t>
      </w:r>
      <w:r>
        <w:rPr>
          <w:rFonts w:hint="eastAsia" w:ascii="仿宋_GB2312" w:hAnsi="仿宋_GB2312" w:eastAsia="仿宋_GB2312" w:cs="仿宋_GB2312"/>
          <w:color w:val="auto"/>
          <w:sz w:val="32"/>
          <w:szCs w:val="32"/>
          <w:highlight w:val="none"/>
        </w:rPr>
        <w:t>期限为</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X</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X</w:t>
      </w:r>
      <w:r>
        <w:rPr>
          <w:rFonts w:hint="eastAsia" w:ascii="仿宋" w:hAnsi="仿宋" w:eastAsia="仿宋" w:cs="仿宋"/>
          <w:color w:val="000000" w:themeColor="text1"/>
          <w:sz w:val="32"/>
          <w:szCs w:val="32"/>
          <w:highlight w:val="none"/>
          <w14:textFill>
            <w14:solidFill>
              <w14:schemeClr w14:val="tx1"/>
            </w14:solidFill>
          </w14:textFill>
        </w:rPr>
        <w:t>日起至202</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X</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X</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auto"/>
          <w:sz w:val="32"/>
          <w:szCs w:val="32"/>
          <w:highlight w:val="none"/>
        </w:rPr>
        <w:t>。如因甲方及上级</w:t>
      </w:r>
      <w:r>
        <w:rPr>
          <w:rFonts w:hint="eastAsia" w:ascii="仿宋_GB2312" w:hAnsi="仿宋_GB2312" w:eastAsia="仿宋_GB2312" w:cs="仿宋_GB2312"/>
          <w:color w:val="auto"/>
          <w:sz w:val="32"/>
          <w:szCs w:val="32"/>
          <w:highlight w:val="none"/>
          <w:lang w:val="en-US" w:eastAsia="zh-CN"/>
        </w:rPr>
        <w:t>行管</w:t>
      </w:r>
      <w:r>
        <w:rPr>
          <w:rFonts w:hint="eastAsia" w:ascii="仿宋_GB2312" w:hAnsi="仿宋_GB2312" w:eastAsia="仿宋_GB2312" w:cs="仿宋_GB2312"/>
          <w:color w:val="auto"/>
          <w:sz w:val="32"/>
          <w:szCs w:val="32"/>
          <w:highlight w:val="none"/>
        </w:rPr>
        <w:t>部门政策调整等原因导致合作期限发生变更的，甲方不承担任何责任。</w:t>
      </w:r>
    </w:p>
    <w:p w14:paraId="611935D9">
      <w:pPr>
        <w:ind w:firstLine="640" w:firstLineChars="200"/>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三、代储费用标准及支付方式</w:t>
      </w:r>
    </w:p>
    <w:p w14:paraId="21A51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（一）费用标准：</w:t>
      </w:r>
      <w:r>
        <w:rPr>
          <w:rFonts w:hint="eastAsia" w:ascii="仿宋" w:hAnsi="仿宋" w:eastAsia="仿宋" w:cs="仿宋"/>
          <w:color w:val="auto"/>
          <w:sz w:val="32"/>
          <w:szCs w:val="32"/>
          <w:highlight w:val="none"/>
        </w:rPr>
        <w:t>甲方按保管费【</w:t>
      </w:r>
      <w:r>
        <w:rPr>
          <w:rFonts w:hint="eastAsia" w:ascii="仿宋" w:hAnsi="仿宋" w:eastAsia="仿宋" w:cs="仿宋"/>
          <w:color w:val="auto"/>
          <w:sz w:val="32"/>
          <w:szCs w:val="32"/>
          <w:highlight w:val="none"/>
          <w:lang w:val="en-US" w:eastAsia="zh-CN"/>
        </w:rPr>
        <w:t>150</w:t>
      </w:r>
      <w:r>
        <w:rPr>
          <w:rFonts w:hint="eastAsia" w:ascii="仿宋" w:hAnsi="仿宋" w:eastAsia="仿宋" w:cs="仿宋"/>
          <w:color w:val="auto"/>
          <w:sz w:val="32"/>
          <w:szCs w:val="32"/>
          <w:highlight w:val="none"/>
        </w:rPr>
        <w:t>】元/吨·年，轮换补贴【</w:t>
      </w:r>
      <w:r>
        <w:rPr>
          <w:rFonts w:hint="eastAsia" w:ascii="仿宋" w:hAnsi="仿宋" w:eastAsia="仿宋" w:cs="仿宋"/>
          <w:color w:val="auto"/>
          <w:sz w:val="32"/>
          <w:szCs w:val="32"/>
          <w:highlight w:val="none"/>
          <w:lang w:val="en-US" w:eastAsia="zh-CN"/>
        </w:rPr>
        <w:t>233</w:t>
      </w:r>
      <w:r>
        <w:rPr>
          <w:rFonts w:hint="eastAsia" w:ascii="仿宋" w:hAnsi="仿宋" w:eastAsia="仿宋" w:cs="仿宋"/>
          <w:color w:val="auto"/>
          <w:sz w:val="32"/>
          <w:szCs w:val="32"/>
          <w:highlight w:val="none"/>
        </w:rPr>
        <w:t>】元/吨·年支付</w:t>
      </w:r>
      <w:r>
        <w:rPr>
          <w:rFonts w:hint="eastAsia" w:ascii="仿宋_GB2312" w:hAnsi="仿宋_GB2312" w:eastAsia="仿宋_GB2312" w:cs="仿宋_GB2312"/>
          <w:color w:val="auto"/>
          <w:sz w:val="32"/>
          <w:szCs w:val="32"/>
          <w:highlight w:val="none"/>
        </w:rPr>
        <w:t>。</w:t>
      </w:r>
    </w:p>
    <w:p w14:paraId="3012B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(二）支付方式：按照实际代储时间计算，经甲方年度考核后，按年度支付给乙方。</w:t>
      </w:r>
      <w:r>
        <w:rPr>
          <w:rFonts w:hint="eastAsia" w:ascii="仿宋_GB2312" w:hAnsi="仿宋_GB2312" w:eastAsia="仿宋_GB2312" w:cs="仿宋_GB2312"/>
          <w:color w:val="auto"/>
          <w:sz w:val="32"/>
          <w:szCs w:val="32"/>
          <w:highlight w:val="none"/>
          <w:lang w:val="en-US" w:eastAsia="zh-CN"/>
        </w:rPr>
        <w:t>费用计算起止时间以上级行管部门实际计算时间为准。</w:t>
      </w:r>
    </w:p>
    <w:p w14:paraId="34494904">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四、初始价值</w:t>
      </w:r>
    </w:p>
    <w:p w14:paraId="3ADC43AD">
      <w:pPr>
        <w:pStyle w:val="2"/>
        <w:rPr>
          <w:rFonts w:hint="default"/>
        </w:rPr>
      </w:pPr>
    </w:p>
    <w:tbl>
      <w:tblPr>
        <w:tblStyle w:val="88"/>
        <w:tblW w:w="82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578"/>
        <w:gridCol w:w="2066"/>
        <w:gridCol w:w="2467"/>
      </w:tblGrid>
      <w:tr w14:paraId="7B44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167" w:type="dxa"/>
            <w:noWrap/>
            <w:vAlign w:val="center"/>
          </w:tcPr>
          <w:p w14:paraId="4F016397">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代储品种</w:t>
            </w:r>
          </w:p>
        </w:tc>
        <w:tc>
          <w:tcPr>
            <w:tcW w:w="1578" w:type="dxa"/>
            <w:noWrap/>
            <w:vAlign w:val="center"/>
          </w:tcPr>
          <w:p w14:paraId="7B819712">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数量（吨）</w:t>
            </w:r>
          </w:p>
        </w:tc>
        <w:tc>
          <w:tcPr>
            <w:tcW w:w="2066" w:type="dxa"/>
            <w:noWrap/>
            <w:vAlign w:val="center"/>
          </w:tcPr>
          <w:p w14:paraId="23720F5D">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初始单价（元）</w:t>
            </w:r>
          </w:p>
        </w:tc>
        <w:tc>
          <w:tcPr>
            <w:tcW w:w="2467" w:type="dxa"/>
            <w:noWrap/>
            <w:vAlign w:val="center"/>
          </w:tcPr>
          <w:p w14:paraId="5AC8762C">
            <w:pPr>
              <w:jc w:val="center"/>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初始值总额（元）</w:t>
            </w:r>
          </w:p>
        </w:tc>
      </w:tr>
      <w:tr w14:paraId="5F45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7" w:type="dxa"/>
            <w:tcBorders>
              <w:top w:val="single" w:color="auto" w:sz="4" w:space="0"/>
              <w:left w:val="single" w:color="auto" w:sz="4" w:space="0"/>
              <w:bottom w:val="single" w:color="auto" w:sz="4" w:space="0"/>
              <w:right w:val="single" w:color="auto" w:sz="4" w:space="0"/>
            </w:tcBorders>
            <w:noWrap/>
            <w:vAlign w:val="center"/>
          </w:tcPr>
          <w:p w14:paraId="60FAEB21">
            <w:pPr>
              <w:jc w:val="center"/>
              <w:rPr>
                <w:rFonts w:hint="eastAsia"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粳米</w:t>
            </w:r>
          </w:p>
        </w:tc>
        <w:tc>
          <w:tcPr>
            <w:tcW w:w="1578" w:type="dxa"/>
            <w:tcBorders>
              <w:top w:val="single" w:color="auto" w:sz="4" w:space="0"/>
              <w:left w:val="single" w:color="auto" w:sz="4" w:space="0"/>
              <w:bottom w:val="single" w:color="auto" w:sz="4" w:space="0"/>
              <w:right w:val="single" w:color="auto" w:sz="4" w:space="0"/>
            </w:tcBorders>
            <w:noWrap/>
            <w:vAlign w:val="center"/>
          </w:tcPr>
          <w:p w14:paraId="077C6EDD">
            <w:pPr>
              <w:jc w:val="center"/>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lang w:val="en-US" w:eastAsia="zh-CN"/>
              </w:rPr>
              <w:t>XX</w:t>
            </w:r>
          </w:p>
        </w:tc>
        <w:tc>
          <w:tcPr>
            <w:tcW w:w="2066" w:type="dxa"/>
            <w:tcBorders>
              <w:top w:val="single" w:color="auto" w:sz="4" w:space="0"/>
              <w:left w:val="single" w:color="auto" w:sz="4" w:space="0"/>
              <w:bottom w:val="single" w:color="auto" w:sz="4" w:space="0"/>
              <w:right w:val="single" w:color="auto" w:sz="4" w:space="0"/>
            </w:tcBorders>
            <w:noWrap/>
            <w:vAlign w:val="center"/>
          </w:tcPr>
          <w:p w14:paraId="5322C585">
            <w:pPr>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XX</w:t>
            </w:r>
            <w:r>
              <w:rPr>
                <w:rFonts w:hint="eastAsia" w:ascii="楷体" w:hAnsi="楷体" w:eastAsia="楷体" w:cs="楷体"/>
                <w:color w:val="auto"/>
                <w:sz w:val="24"/>
                <w:highlight w:val="none"/>
              </w:rPr>
              <w:t>元/吨</w:t>
            </w:r>
          </w:p>
        </w:tc>
        <w:tc>
          <w:tcPr>
            <w:tcW w:w="2467" w:type="dxa"/>
            <w:tcBorders>
              <w:top w:val="single" w:color="auto" w:sz="4" w:space="0"/>
              <w:left w:val="single" w:color="auto" w:sz="4" w:space="0"/>
              <w:bottom w:val="single" w:color="auto" w:sz="4" w:space="0"/>
              <w:right w:val="single" w:color="auto" w:sz="4" w:space="0"/>
            </w:tcBorders>
            <w:noWrap/>
            <w:vAlign w:val="center"/>
          </w:tcPr>
          <w:p w14:paraId="0D8F13F8">
            <w:pPr>
              <w:jc w:val="center"/>
              <w:rPr>
                <w:rFonts w:hint="default" w:ascii="楷体" w:hAnsi="楷体" w:eastAsia="楷体" w:cs="楷体"/>
                <w:color w:val="auto"/>
                <w:sz w:val="24"/>
                <w:highlight w:val="none"/>
                <w:lang w:val="en-US" w:eastAsia="zh-CN"/>
              </w:rPr>
            </w:pPr>
            <w:bookmarkStart w:id="0" w:name="OLE_LINK1"/>
            <w:bookmarkStart w:id="1" w:name="OLE_LINK2"/>
            <w:r>
              <w:rPr>
                <w:rFonts w:hint="eastAsia" w:ascii="楷体" w:hAnsi="楷体" w:eastAsia="楷体" w:cs="楷体"/>
                <w:color w:val="auto"/>
                <w:sz w:val="24"/>
                <w:highlight w:val="none"/>
              </w:rPr>
              <w:t>￥</w:t>
            </w:r>
            <w:bookmarkEnd w:id="0"/>
            <w:bookmarkEnd w:id="1"/>
            <w:r>
              <w:rPr>
                <w:rFonts w:hint="eastAsia" w:ascii="楷体" w:hAnsi="楷体" w:eastAsia="楷体" w:cs="楷体"/>
                <w:color w:val="auto"/>
                <w:sz w:val="24"/>
                <w:highlight w:val="none"/>
                <w:lang w:val="en-US" w:eastAsia="zh-CN"/>
              </w:rPr>
              <w:t>XX</w:t>
            </w:r>
          </w:p>
        </w:tc>
      </w:tr>
    </w:tbl>
    <w:p w14:paraId="572ED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协议终止时，乙方</w:t>
      </w:r>
      <w:r>
        <w:rPr>
          <w:rFonts w:hint="eastAsia" w:ascii="仿宋_GB2312" w:hAnsi="仿宋_GB2312" w:eastAsia="仿宋_GB2312" w:cs="仿宋_GB2312"/>
          <w:color w:val="auto"/>
          <w:sz w:val="32"/>
          <w:szCs w:val="32"/>
          <w:highlight w:val="none"/>
          <w:lang w:val="en-US" w:eastAsia="zh-CN"/>
        </w:rPr>
        <w:t>按照甲方上级行管部门批复文件要求的贷款归还时限归还甲方初始值总额</w:t>
      </w:r>
      <w:bookmarkStart w:id="2" w:name="OLE_LINK3"/>
      <w:bookmarkStart w:id="3" w:name="OLE_LINK4"/>
      <w:r>
        <w:rPr>
          <w:rFonts w:hint="eastAsia" w:ascii="仿宋" w:hAnsi="仿宋" w:eastAsia="仿宋" w:cs="仿宋"/>
          <w:color w:val="auto"/>
          <w:sz w:val="32"/>
          <w:szCs w:val="32"/>
          <w:highlight w:val="none"/>
          <w:u w:val="single"/>
        </w:rPr>
        <w:t>￥</w:t>
      </w:r>
      <w:bookmarkEnd w:id="2"/>
      <w:r>
        <w:rPr>
          <w:rFonts w:hint="eastAsia" w:ascii="仿宋" w:hAnsi="仿宋" w:eastAsia="仿宋" w:cs="仿宋"/>
          <w:color w:val="auto"/>
          <w:sz w:val="32"/>
          <w:szCs w:val="32"/>
          <w:highlight w:val="none"/>
          <w:u w:val="single"/>
          <w:lang w:val="en-US" w:eastAsia="zh-CN"/>
        </w:rPr>
        <w:t>X元</w:t>
      </w:r>
      <w:r>
        <w:rPr>
          <w:rFonts w:hint="eastAsia" w:ascii="仿宋" w:hAnsi="仿宋" w:eastAsia="仿宋" w:cs="仿宋"/>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大写：</w:t>
      </w:r>
    </w:p>
    <w:p w14:paraId="1F06B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lang w:val="en-US" w:eastAsia="zh-CN"/>
        </w:rPr>
        <w:t>XX元整</w:t>
      </w:r>
      <w:r>
        <w:rPr>
          <w:rFonts w:hint="eastAsia" w:ascii="仿宋_GB2312" w:hAnsi="仿宋_GB2312" w:eastAsia="仿宋_GB2312" w:cs="仿宋_GB2312"/>
          <w:color w:val="auto"/>
          <w:sz w:val="32"/>
          <w:szCs w:val="32"/>
          <w:highlight w:val="none"/>
          <w:u w:val="single"/>
          <w:lang w:eastAsia="zh-CN"/>
        </w:rPr>
        <w:t>）</w:t>
      </w:r>
      <w:bookmarkEnd w:id="3"/>
      <w:r>
        <w:rPr>
          <w:rFonts w:hint="eastAsia" w:ascii="仿宋_GB2312" w:hAnsi="仿宋_GB2312" w:eastAsia="仿宋_GB2312" w:cs="仿宋_GB2312"/>
          <w:color w:val="auto"/>
          <w:sz w:val="32"/>
          <w:szCs w:val="32"/>
          <w:highlight w:val="none"/>
        </w:rPr>
        <w:t>。</w:t>
      </w:r>
    </w:p>
    <w:p w14:paraId="49A00E21">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五、履约保证金</w:t>
      </w:r>
    </w:p>
    <w:p w14:paraId="4F647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eastAsia" w:ascii="仿宋_GB2312" w:hAnsi="仿宋_GB2312" w:eastAsia="仿宋_GB2312" w:cs="仿宋_GB2312"/>
          <w:color w:val="auto"/>
          <w:sz w:val="32"/>
          <w:szCs w:val="32"/>
          <w:highlight w:val="none"/>
        </w:rPr>
        <w:t>根据《贵阳市市级成品粮油储备管理实施细则》相关要求，乙方在</w:t>
      </w:r>
      <w:r>
        <w:rPr>
          <w:rFonts w:hint="eastAsia" w:ascii="仿宋_GB2312" w:hAnsi="仿宋_GB2312" w:eastAsia="仿宋_GB2312" w:cs="仿宋_GB2312"/>
          <w:color w:val="auto"/>
          <w:sz w:val="32"/>
          <w:szCs w:val="32"/>
          <w:highlight w:val="none"/>
          <w:lang w:val="en-US" w:eastAsia="zh-CN"/>
        </w:rPr>
        <w:t>综合验收完成后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5个工作日内</w:t>
      </w:r>
      <w:r>
        <w:rPr>
          <w:rFonts w:hint="eastAsia" w:ascii="仿宋_GB2312" w:hAnsi="仿宋_GB2312" w:eastAsia="仿宋_GB2312" w:cs="仿宋_GB2312"/>
          <w:color w:val="auto"/>
          <w:sz w:val="32"/>
          <w:szCs w:val="32"/>
          <w:highlight w:val="none"/>
        </w:rPr>
        <w:t>必须向甲方按照该批市级储备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初始价值总额的2%交纳保证金</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xxx</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大写：xxx元整</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rPr>
        <w:t>。本协议解除后且乙方按照协议约定时限归还该批</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lang w:val="en-US" w:eastAsia="zh-CN"/>
        </w:rPr>
        <w:t>初始值总额</w:t>
      </w:r>
      <w:bookmarkStart w:id="4" w:name="OLE_LINK6"/>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lang w:val="en-US" w:eastAsia="zh-CN"/>
        </w:rPr>
        <w:t>xxx元</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大写：xxxx</w:t>
      </w:r>
      <w:r>
        <w:rPr>
          <w:rFonts w:hint="eastAsia" w:ascii="仿宋" w:hAnsi="仿宋" w:eastAsia="仿宋" w:cs="仿宋"/>
          <w:color w:val="auto"/>
          <w:sz w:val="32"/>
          <w:szCs w:val="32"/>
          <w:highlight w:val="none"/>
          <w:u w:val="single"/>
        </w:rPr>
        <w:t>元整</w:t>
      </w:r>
      <w:r>
        <w:rPr>
          <w:rFonts w:hint="eastAsia" w:ascii="仿宋" w:hAnsi="仿宋" w:eastAsia="仿宋" w:cs="仿宋"/>
          <w:color w:val="auto"/>
          <w:sz w:val="32"/>
          <w:szCs w:val="32"/>
          <w:highlight w:val="none"/>
          <w:u w:val="single"/>
          <w:lang w:eastAsia="zh-CN"/>
        </w:rPr>
        <w:t>）</w:t>
      </w:r>
      <w:bookmarkEnd w:id="4"/>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经甲乙双方完成所有账务对账后对账后，</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经</w:t>
      </w:r>
      <w:r>
        <w:rPr>
          <w:rFonts w:hint="eastAsia" w:ascii="仿宋_GB2312" w:hAnsi="仿宋_GB2312" w:eastAsia="仿宋_GB2312" w:cs="仿宋_GB2312"/>
          <w:color w:val="auto"/>
          <w:sz w:val="32"/>
          <w:szCs w:val="32"/>
          <w:highlight w:val="none"/>
        </w:rPr>
        <w:t>7个工作日内将保证金无息</w:t>
      </w:r>
      <w:r>
        <w:rPr>
          <w:rFonts w:hint="eastAsia" w:ascii="仿宋_GB2312" w:hAnsi="仿宋_GB2312" w:eastAsia="仿宋_GB2312" w:cs="仿宋_GB2312"/>
          <w:color w:val="auto"/>
          <w:sz w:val="32"/>
          <w:szCs w:val="32"/>
          <w:highlight w:val="none"/>
          <w:lang w:val="en-US" w:eastAsia="zh-CN"/>
        </w:rPr>
        <w:t>退还</w:t>
      </w:r>
      <w:r>
        <w:rPr>
          <w:rFonts w:hint="eastAsia" w:ascii="仿宋_GB2312" w:hAnsi="仿宋_GB2312" w:eastAsia="仿宋_GB2312" w:cs="仿宋_GB2312"/>
          <w:color w:val="auto"/>
          <w:sz w:val="32"/>
          <w:szCs w:val="32"/>
          <w:highlight w:val="none"/>
        </w:rPr>
        <w:t>乙方。</w:t>
      </w:r>
    </w:p>
    <w:p w14:paraId="02428898">
      <w:pPr>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六、甲方权利和义务</w:t>
      </w:r>
    </w:p>
    <w:p w14:paraId="6CB89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有权随时对乙方储备动态轮换的日常管理进行检查，乙方须配合甲方检查工作。对于检查中发现的问题，乙方须在甲方规定时间内完成整改，并向甲方报告整改情况。当乙方发生重大事件（如法人变更、公司经营出现重大风险等），并有可能危及该批市级储备</w:t>
      </w:r>
      <w:r>
        <w:rPr>
          <w:rFonts w:hint="eastAsia" w:ascii="仿宋" w:hAnsi="仿宋" w:eastAsia="仿宋" w:cs="仿宋"/>
          <w:color w:val="auto"/>
          <w:sz w:val="32"/>
          <w:szCs w:val="32"/>
          <w:highlight w:val="none"/>
          <w:lang w:val="en-US" w:eastAsia="zh-CN"/>
        </w:rPr>
        <w:t>成品大米</w:t>
      </w:r>
      <w:r>
        <w:rPr>
          <w:rFonts w:hint="eastAsia" w:ascii="仿宋_GB2312" w:hAnsi="仿宋_GB2312" w:eastAsia="仿宋_GB2312" w:cs="仿宋_GB2312"/>
          <w:color w:val="auto"/>
          <w:sz w:val="32"/>
          <w:szCs w:val="32"/>
          <w:highlight w:val="none"/>
        </w:rPr>
        <w:t>安全时，应立即通知甲方，并采取必要措施，防止事态蔓延，减少经济损失。</w:t>
      </w:r>
    </w:p>
    <w:p w14:paraId="06C6D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2.甲方应按本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约定及时向乙方支付代储费用。</w:t>
      </w:r>
    </w:p>
    <w:p w14:paraId="6830C4C2">
      <w:pPr>
        <w:pStyle w:val="2"/>
        <w:rPr>
          <w:rFonts w:hint="default" w:ascii="Times New Roman" w:hAnsi="Times New Roman" w:eastAsia="黑体" w:cs="Times New Roman"/>
          <w:color w:val="auto"/>
          <w:sz w:val="32"/>
          <w:szCs w:val="32"/>
          <w:highlight w:val="none"/>
        </w:rPr>
      </w:pPr>
      <w:r>
        <w:rPr>
          <w:rFonts w:hint="default" w:ascii="Times New Roman" w:hAnsi="Times New Roman" w:eastAsia="方正仿宋_GB2312"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七、乙方责任与义务</w:t>
      </w:r>
    </w:p>
    <w:p w14:paraId="27373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1.乙方须在该批市级储备</w:t>
      </w:r>
      <w:r>
        <w:rPr>
          <w:rFonts w:hint="eastAsia" w:ascii="仿宋" w:hAnsi="仿宋" w:eastAsia="仿宋" w:cs="仿宋"/>
          <w:color w:val="auto"/>
          <w:sz w:val="32"/>
          <w:szCs w:val="32"/>
          <w:highlight w:val="none"/>
          <w:lang w:val="en-US" w:eastAsia="zh-CN"/>
        </w:rPr>
        <w:t>成品大米</w:t>
      </w:r>
      <w:r>
        <w:rPr>
          <w:rFonts w:hint="eastAsia" w:ascii="仿宋_GB2312" w:hAnsi="仿宋_GB2312" w:eastAsia="仿宋_GB2312" w:cs="仿宋_GB2312"/>
          <w:color w:val="auto"/>
          <w:sz w:val="32"/>
          <w:szCs w:val="32"/>
          <w:highlight w:val="none"/>
        </w:rPr>
        <w:t>储存仓库外醒目位置加挂“贵阳市市级成品粮储备仓库”“成品粮仓公告牌”等牌子，并注明粮权属贵阳市人民政府。任何单位和个人不得将该仓库市级储备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用于抵质押贷款、开展融资活动、提供担保、清偿债务和进行期现货实物交割等行为。</w:t>
      </w:r>
    </w:p>
    <w:p w14:paraId="28EBB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2.乙方如需变更储存地点，须严格按照程序申报，经批准后方可调整储存地点。未经批准，乙方不得擅自将该批市级储备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储存在</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协议约定以外的仓房。</w:t>
      </w:r>
    </w:p>
    <w:p w14:paraId="25D24C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3.乙方须按照上级有关要求建设粮食购销监管信息化系统及其他设施设备。</w:t>
      </w:r>
    </w:p>
    <w:p w14:paraId="0BCC4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4.乙方需在中国农业发展银行贵阳市南明区支行设立专用账户和短信通知，乙方须添加甲方财务人员联系方式，接受甲方监督。购销资金必须专户封闭运行，并建立专户台账。</w:t>
      </w:r>
    </w:p>
    <w:p w14:paraId="72A37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5.乙方须实行专仓管理、专人保管、专账记载，不得与其他权属的粮油混存。须随时保持仓房清洁，该批市级储备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应存放在通风、干燥的环境中，不得与易燃易爆、有毒、有害、有异味的物品混存，且包装完整、码垛整齐，数字准确、堆垛安全。</w:t>
      </w:r>
    </w:p>
    <w:p w14:paraId="390D4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6.在动态轮换期间，乙方</w:t>
      </w:r>
      <w:r>
        <w:rPr>
          <w:rFonts w:hint="eastAsia" w:ascii="仿宋_GB2312" w:hAnsi="仿宋_GB2312" w:eastAsia="仿宋_GB2312" w:cs="仿宋_GB2312"/>
          <w:color w:val="auto"/>
          <w:sz w:val="32"/>
          <w:szCs w:val="32"/>
          <w:highlight w:val="none"/>
          <w:lang w:eastAsia="zh-CN"/>
        </w:rPr>
        <w:t>成品粮大米</w:t>
      </w:r>
      <w:r>
        <w:rPr>
          <w:rFonts w:hint="eastAsia" w:ascii="仿宋_GB2312" w:hAnsi="仿宋_GB2312" w:eastAsia="仿宋_GB2312" w:cs="仿宋_GB2312"/>
          <w:color w:val="auto"/>
          <w:sz w:val="32"/>
          <w:szCs w:val="32"/>
          <w:highlight w:val="none"/>
        </w:rPr>
        <w:t>采购和销售必须符合《中华人民共和国食品安全法》《粮食流通管理条例》。严格执行甲方要求的产品质量标准和食品安全标准，不掺杂使假，不违规使用添加剂。</w:t>
      </w:r>
    </w:p>
    <w:p w14:paraId="3B8FA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7.政府需要动用该批市级储备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时，乙方不得以任何理由或方式阻止该批市级储备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的出库。</w:t>
      </w:r>
    </w:p>
    <w:p w14:paraId="7834E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8.乙方在实施动态轮换过程中，政府因需要紧急动用除外，乙方必须随时保证仓库内市级储备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数量不得低于代储数量的90%，即</w:t>
      </w:r>
      <w:r>
        <w:rPr>
          <w:rFonts w:hint="eastAsia" w:ascii="仿宋_GB2312" w:hAnsi="仿宋_GB2312" w:eastAsia="仿宋_GB2312" w:cs="仿宋_GB2312"/>
          <w:color w:val="auto"/>
          <w:sz w:val="32"/>
          <w:szCs w:val="32"/>
          <w:highlight w:val="none"/>
          <w:lang w:val="en-US" w:eastAsia="zh-CN"/>
        </w:rPr>
        <w:t>XXX</w:t>
      </w:r>
      <w:r>
        <w:rPr>
          <w:rFonts w:hint="eastAsia" w:ascii="仿宋_GB2312" w:hAnsi="仿宋_GB2312" w:eastAsia="仿宋_GB2312" w:cs="仿宋_GB2312"/>
          <w:color w:val="auto"/>
          <w:sz w:val="32"/>
          <w:szCs w:val="32"/>
          <w:highlight w:val="none"/>
        </w:rPr>
        <w:t>吨。</w:t>
      </w:r>
    </w:p>
    <w:p w14:paraId="698A0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.乙方在滚动轮换过程中</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不得低于第一次采购入库验收的等级标准，且必须保证储存安全。乙方未经批准，不得擅自降低市级储备</w:t>
      </w:r>
      <w:r>
        <w:rPr>
          <w:rFonts w:hint="eastAsia" w:ascii="仿宋" w:hAnsi="仿宋" w:eastAsia="仿宋" w:cs="仿宋"/>
          <w:color w:val="auto"/>
          <w:sz w:val="32"/>
          <w:szCs w:val="32"/>
          <w:highlight w:val="none"/>
          <w:lang w:val="en-US" w:eastAsia="zh-CN"/>
        </w:rPr>
        <w:t>成品粮大米</w:t>
      </w:r>
      <w:r>
        <w:rPr>
          <w:rFonts w:hint="eastAsia" w:ascii="仿宋_GB2312" w:hAnsi="仿宋_GB2312" w:eastAsia="仿宋_GB2312" w:cs="仿宋_GB2312"/>
          <w:color w:val="auto"/>
          <w:sz w:val="32"/>
          <w:szCs w:val="32"/>
          <w:highlight w:val="none"/>
        </w:rPr>
        <w:t>等级和标准。</w:t>
      </w:r>
    </w:p>
    <w:p w14:paraId="5B96A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.乙方在动态轮换过程中，品种统一为</w:t>
      </w:r>
      <w:r>
        <w:rPr>
          <w:rFonts w:hint="eastAsia" w:ascii="仿宋_GB2312" w:hAnsi="仿宋_GB2312" w:eastAsia="仿宋_GB2312" w:cs="仿宋_GB2312"/>
          <w:color w:val="auto"/>
          <w:sz w:val="32"/>
          <w:szCs w:val="32"/>
          <w:highlight w:val="none"/>
          <w:lang w:eastAsia="zh-CN"/>
        </w:rPr>
        <w:t>大米</w:t>
      </w:r>
      <w:r>
        <w:rPr>
          <w:rFonts w:hint="eastAsia" w:ascii="仿宋_GB2312" w:hAnsi="仿宋_GB2312" w:eastAsia="仿宋_GB2312" w:cs="仿宋_GB2312"/>
          <w:color w:val="auto"/>
          <w:sz w:val="32"/>
          <w:szCs w:val="32"/>
          <w:highlight w:val="none"/>
        </w:rPr>
        <w:t>进行管理，不再细分品种，但不得擅自改变代储种类。</w:t>
      </w:r>
    </w:p>
    <w:p w14:paraId="66472A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.乙方动态轮换入库的每批次市级储备</w:t>
      </w:r>
      <w:r>
        <w:rPr>
          <w:rFonts w:hint="eastAsia" w:ascii="仿宋" w:hAnsi="仿宋" w:eastAsia="仿宋" w:cs="仿宋"/>
          <w:color w:val="000000" w:themeColor="text1"/>
          <w:sz w:val="32"/>
          <w:szCs w:val="32"/>
          <w:highlight w:val="none"/>
          <w:lang w:val="en-US" w:eastAsia="zh-CN"/>
          <w14:textFill>
            <w14:solidFill>
              <w14:schemeClr w14:val="tx1"/>
            </w14:solidFill>
          </w14:textFill>
        </w:rPr>
        <w:t>成品粮大米</w:t>
      </w:r>
      <w:r>
        <w:rPr>
          <w:rFonts w:hint="eastAsia" w:ascii="仿宋_GB2312" w:hAnsi="仿宋_GB2312" w:eastAsia="仿宋_GB2312" w:cs="仿宋_GB2312"/>
          <w:color w:val="000000" w:themeColor="text1"/>
          <w:sz w:val="32"/>
          <w:szCs w:val="32"/>
          <w:highlight w:val="none"/>
          <w14:textFill>
            <w14:solidFill>
              <w14:schemeClr w14:val="tx1"/>
            </w14:solidFill>
          </w14:textFill>
        </w:rPr>
        <w:t>入库质量检验以获得食品生产许可证的生产厂家按批次提供的质检报告，或由有资质的质检机构出具的质检报告为依据，质量指标及食品安全指标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符合国家标准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。如乙方未按国家法律法规及甲方要求执行的，相关的责任和损失由乙方承担。</w:t>
      </w:r>
    </w:p>
    <w:p w14:paraId="34A4C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.乙方按照规模数对</w:t>
      </w:r>
      <w:r>
        <w:rPr>
          <w:rFonts w:hint="eastAsia" w:ascii="仿宋" w:hAnsi="仿宋" w:eastAsia="仿宋" w:cs="仿宋"/>
          <w:color w:val="000000" w:themeColor="text1"/>
          <w:sz w:val="32"/>
          <w:szCs w:val="32"/>
          <w:highlight w:val="none"/>
          <w:lang w:val="en-US" w:eastAsia="zh-CN"/>
          <w14:textFill>
            <w14:solidFill>
              <w14:schemeClr w14:val="tx1"/>
            </w14:solidFill>
          </w14:textFill>
        </w:rPr>
        <w:t>成品粮大米</w:t>
      </w:r>
      <w:r>
        <w:rPr>
          <w:rFonts w:hint="eastAsia" w:ascii="仿宋_GB2312" w:hAnsi="仿宋_GB2312" w:eastAsia="仿宋_GB2312" w:cs="仿宋_GB2312"/>
          <w:color w:val="000000" w:themeColor="text1"/>
          <w:sz w:val="32"/>
          <w:szCs w:val="32"/>
          <w:highlight w:val="none"/>
          <w14:textFill>
            <w14:solidFill>
              <w14:schemeClr w14:val="tx1"/>
            </w14:solidFill>
          </w14:textFill>
        </w:rPr>
        <w:t>每年至少轮换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次且库存</w:t>
      </w:r>
      <w:r>
        <w:rPr>
          <w:rFonts w:hint="eastAsia" w:ascii="仿宋" w:hAnsi="仿宋" w:eastAsia="仿宋" w:cs="仿宋"/>
          <w:color w:val="000000" w:themeColor="text1"/>
          <w:sz w:val="32"/>
          <w:szCs w:val="32"/>
          <w:highlight w:val="none"/>
          <w:lang w:val="en-US" w:eastAsia="zh-CN"/>
          <w14:textFill>
            <w14:solidFill>
              <w14:schemeClr w14:val="tx1"/>
            </w14:solidFill>
          </w14:textFill>
        </w:rPr>
        <w:t>成品粮大米</w:t>
      </w:r>
      <w:r>
        <w:rPr>
          <w:rFonts w:hint="eastAsia" w:ascii="仿宋_GB2312" w:hAnsi="仿宋_GB2312" w:eastAsia="仿宋_GB2312" w:cs="仿宋_GB2312"/>
          <w:color w:val="000000" w:themeColor="text1"/>
          <w:sz w:val="32"/>
          <w:szCs w:val="32"/>
          <w:highlight w:val="none"/>
          <w14:textFill>
            <w14:solidFill>
              <w14:schemeClr w14:val="tx1"/>
            </w14:solidFill>
          </w14:textFill>
        </w:rPr>
        <w:t>保质期离失效期不低于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个月。保质期离失效期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不足</w:t>
      </w:r>
      <w:r>
        <w:rPr>
          <w:rFonts w:hint="eastAsia" w:ascii="仿宋_GB2312" w:hAnsi="仿宋_GB2312" w:eastAsia="仿宋_GB2312" w:cs="仿宋_GB2312"/>
          <w:color w:val="000000" w:themeColor="text1"/>
          <w:sz w:val="32"/>
          <w:szCs w:val="32"/>
          <w:highlight w:val="none"/>
          <w14:textFill>
            <w14:solidFill>
              <w14:schemeClr w14:val="tx1"/>
            </w14:solidFill>
          </w14:textFill>
        </w:rPr>
        <w:t>1个月的，需要提供销售去向资料。轮换情况，纳入年度考核。按最低轮换频次所产生的购销资金（按该批成品粮初始值乘以2计算）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必须通过专户交易</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9958F53">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13.</w:t>
      </w:r>
      <w:r>
        <w:rPr>
          <w:rFonts w:hint="eastAsia" w:ascii="仿宋_GB2312" w:hAnsi="仿宋_GB2312" w:eastAsia="仿宋_GB2312" w:cs="仿宋_GB2312"/>
          <w:color w:val="auto"/>
          <w:sz w:val="32"/>
          <w:szCs w:val="32"/>
          <w:highlight w:val="none"/>
        </w:rPr>
        <w:t>其他管理规定参照《贵阳市市级成品粮油储备管理实施细则》和《贵阳市粮食储备管理有限公司市级成品粮储备管理制度》执行。</w:t>
      </w:r>
    </w:p>
    <w:p w14:paraId="7D2824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14.若甲方及上级行管部门成品粮管理相关规章制度发生变化，乙方无条件配合并按最新的要求执行。</w:t>
      </w:r>
    </w:p>
    <w:p w14:paraId="1CF15A11">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第八条 年度考核</w:t>
      </w:r>
    </w:p>
    <w:p w14:paraId="33BE6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甲方将根据乙方在代储合同服务期内的库存数量、质量、环境卫生、规范管理、食品安全、经营状况等方面进行年度综合评分，评分标准以甲方制定的评分细则为准</w:t>
      </w:r>
      <w:r>
        <w:rPr>
          <w:rFonts w:hint="default" w:ascii="Times New Roman" w:hAnsi="Times New Roman" w:eastAsia="仿宋_GB2312" w:cs="Times New Roman"/>
          <w:color w:val="auto"/>
          <w:sz w:val="32"/>
          <w:szCs w:val="32"/>
          <w:highlight w:val="none"/>
        </w:rPr>
        <w:t>（见附件）</w:t>
      </w:r>
    </w:p>
    <w:p w14:paraId="0A201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（一）处罚措施：</w:t>
      </w:r>
    </w:p>
    <w:p w14:paraId="5741F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1.库存数量不足：以甲方或上级行管部门检查下达的整改通知为依据，若成品</w:t>
      </w:r>
      <w:r>
        <w:rPr>
          <w:rFonts w:hint="eastAsia" w:ascii="Times New Roman" w:hAnsi="Times New Roman" w:eastAsia="方正仿宋_GB2312" w:cs="Times New Roman"/>
          <w:color w:val="auto"/>
          <w:sz w:val="32"/>
          <w:szCs w:val="32"/>
          <w:highlight w:val="none"/>
          <w:lang w:eastAsia="zh-CN"/>
        </w:rPr>
        <w:t>粮</w:t>
      </w:r>
      <w:r>
        <w:rPr>
          <w:rFonts w:hint="default" w:ascii="Times New Roman" w:hAnsi="Times New Roman" w:eastAsia="方正仿宋_GB2312" w:cs="Times New Roman"/>
          <w:color w:val="auto"/>
          <w:sz w:val="32"/>
          <w:szCs w:val="32"/>
          <w:highlight w:val="none"/>
        </w:rPr>
        <w:t>库存数量低于代储总量90%，</w:t>
      </w:r>
      <w:r>
        <w:rPr>
          <w:rFonts w:hint="default" w:ascii="Times New Roman" w:hAnsi="Times New Roman" w:eastAsia="方正仿宋_GB2312" w:cs="Times New Roman"/>
          <w:color w:val="auto"/>
          <w:sz w:val="32"/>
          <w:szCs w:val="32"/>
          <w:highlight w:val="none"/>
          <w:lang w:val="en-US" w:eastAsia="zh-CN"/>
        </w:rPr>
        <w:t>以不足数量为基数，</w:t>
      </w:r>
      <w:r>
        <w:rPr>
          <w:rFonts w:hint="default" w:ascii="Times New Roman" w:hAnsi="Times New Roman" w:eastAsia="方正仿宋_GB2312" w:cs="Times New Roman"/>
          <w:color w:val="auto"/>
          <w:sz w:val="32"/>
          <w:szCs w:val="32"/>
          <w:highlight w:val="none"/>
        </w:rPr>
        <w:t>按</w:t>
      </w:r>
      <w:r>
        <w:rPr>
          <w:rFonts w:hint="default" w:ascii="Times New Roman" w:hAnsi="Times New Roman" w:eastAsia="方正仿宋_GB2312" w:cs="Times New Roman"/>
          <w:color w:val="auto"/>
          <w:sz w:val="32"/>
          <w:szCs w:val="32"/>
          <w:highlight w:val="none"/>
          <w:lang w:eastAsia="zh-CN"/>
        </w:rPr>
        <w:t>【</w:t>
      </w:r>
      <w:r>
        <w:rPr>
          <w:rFonts w:hint="eastAsia" w:ascii="Times New Roman" w:hAnsi="Times New Roman" w:eastAsia="方正仿宋_GB2312" w:cs="Times New Roman"/>
          <w:color w:val="auto"/>
          <w:sz w:val="32"/>
          <w:szCs w:val="32"/>
          <w:highlight w:val="none"/>
          <w:lang w:val="en-US" w:eastAsia="zh-CN"/>
        </w:rPr>
        <w:t>12.5</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r>
        <w:rPr>
          <w:rFonts w:hint="default" w:ascii="Times New Roman" w:hAnsi="Times New Roman" w:eastAsia="方正仿宋_GB2312" w:cs="Times New Roman"/>
          <w:color w:val="auto"/>
          <w:sz w:val="32"/>
          <w:szCs w:val="32"/>
          <w:highlight w:val="none"/>
        </w:rPr>
        <w:t>扣除相应保证金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按月测算全年汇总。</w:t>
      </w:r>
    </w:p>
    <w:p w14:paraId="44A782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2.质量不合格：若乙方库存</w:t>
      </w:r>
      <w:r>
        <w:rPr>
          <w:rFonts w:hint="eastAsia" w:ascii="仿宋" w:hAnsi="仿宋" w:eastAsia="仿宋" w:cs="仿宋"/>
          <w:color w:val="auto"/>
          <w:sz w:val="32"/>
          <w:szCs w:val="32"/>
          <w:highlight w:val="none"/>
          <w:lang w:val="en-US" w:eastAsia="zh-CN"/>
        </w:rPr>
        <w:t>成品粮大米</w:t>
      </w:r>
      <w:r>
        <w:rPr>
          <w:rFonts w:hint="default" w:ascii="Times New Roman" w:hAnsi="Times New Roman" w:eastAsia="方正仿宋_GB2312" w:cs="Times New Roman"/>
          <w:color w:val="auto"/>
          <w:sz w:val="32"/>
          <w:szCs w:val="32"/>
          <w:highlight w:val="none"/>
        </w:rPr>
        <w:t>经第三方检验机构或上级行管部门检测，质量指标不符合国家标准的，甲方将按对应数量，</w:t>
      </w:r>
      <w:r>
        <w:rPr>
          <w:rFonts w:hint="default" w:ascii="Times New Roman" w:hAnsi="Times New Roman" w:eastAsia="方正仿宋_GB2312" w:cs="Times New Roman"/>
          <w:color w:val="auto"/>
          <w:sz w:val="32"/>
          <w:szCs w:val="32"/>
          <w:highlight w:val="none"/>
          <w:lang w:val="en-US" w:eastAsia="zh-CN"/>
        </w:rPr>
        <w:t>按</w:t>
      </w:r>
      <w:bookmarkStart w:id="5" w:name="OLE_LINK5"/>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12.5</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bookmarkEnd w:id="5"/>
      <w:r>
        <w:rPr>
          <w:rFonts w:hint="default" w:ascii="Times New Roman" w:hAnsi="Times New Roman" w:eastAsia="方正仿宋_GB2312" w:cs="Times New Roman"/>
          <w:color w:val="auto"/>
          <w:sz w:val="32"/>
          <w:szCs w:val="32"/>
          <w:highlight w:val="none"/>
          <w:lang w:val="en-US" w:eastAsia="zh-CN"/>
        </w:rPr>
        <w:t>扣除相应</w:t>
      </w:r>
      <w:r>
        <w:rPr>
          <w:rFonts w:hint="default" w:ascii="Times New Roman" w:hAnsi="Times New Roman" w:eastAsia="方正仿宋_GB2312" w:cs="Times New Roman"/>
          <w:color w:val="auto"/>
          <w:sz w:val="32"/>
          <w:szCs w:val="32"/>
          <w:highlight w:val="none"/>
        </w:rPr>
        <w:t>保证金。食品安全指标不符合国家标准的，甲方将按对应数量，按</w:t>
      </w:r>
      <w:r>
        <w:rPr>
          <w:rFonts w:hint="default" w:ascii="Times New Roman" w:hAnsi="Times New Roman" w:eastAsia="方正仿宋_GB2312" w:cs="Times New Roman"/>
          <w:color w:val="auto"/>
          <w:sz w:val="32"/>
          <w:szCs w:val="32"/>
          <w:highlight w:val="none"/>
          <w:lang w:val="en-US" w:eastAsia="zh-CN"/>
        </w:rPr>
        <w:t>【</w:t>
      </w:r>
      <w:r>
        <w:rPr>
          <w:rFonts w:hint="eastAsia" w:ascii="Times New Roman" w:hAnsi="Times New Roman" w:eastAsia="方正仿宋_GB2312" w:cs="Times New Roman"/>
          <w:color w:val="auto"/>
          <w:sz w:val="32"/>
          <w:szCs w:val="32"/>
          <w:highlight w:val="none"/>
          <w:lang w:val="en-US" w:eastAsia="zh-CN"/>
        </w:rPr>
        <w:t>350</w:t>
      </w:r>
      <w:r>
        <w:rPr>
          <w:rFonts w:hint="default" w:ascii="Times New Roman" w:hAnsi="Times New Roman" w:eastAsia="方正仿宋_GB2312" w:cs="Times New Roman"/>
          <w:color w:val="auto"/>
          <w:sz w:val="32"/>
          <w:szCs w:val="32"/>
          <w:highlight w:val="none"/>
        </w:rPr>
        <w:t>元</w:t>
      </w:r>
      <w:r>
        <w:rPr>
          <w:rFonts w:hint="default" w:ascii="Times New Roman" w:hAnsi="Times New Roman" w:eastAsia="方正仿宋_GB2312" w:cs="Times New Roman"/>
          <w:color w:val="auto"/>
          <w:sz w:val="32"/>
          <w:szCs w:val="32"/>
          <w:highlight w:val="none"/>
          <w:lang w:val="en-US" w:eastAsia="zh-CN"/>
        </w:rPr>
        <w:t>/吨】</w:t>
      </w:r>
      <w:r>
        <w:rPr>
          <w:rFonts w:hint="default" w:ascii="Times New Roman" w:hAnsi="Times New Roman" w:eastAsia="方正仿宋_GB2312" w:cs="Times New Roman"/>
          <w:color w:val="auto"/>
          <w:sz w:val="32"/>
          <w:szCs w:val="32"/>
          <w:highlight w:val="none"/>
        </w:rPr>
        <w:t>扣相应比例的保证金。</w:t>
      </w:r>
      <w:r>
        <w:rPr>
          <w:rFonts w:hint="default" w:ascii="Times New Roman" w:hAnsi="Times New Roman" w:eastAsia="方正仿宋_GB2312" w:cs="Times New Roman"/>
          <w:color w:val="auto"/>
          <w:sz w:val="32"/>
          <w:szCs w:val="32"/>
          <w:highlight w:val="none"/>
          <w:lang w:val="en-US" w:eastAsia="zh-CN"/>
        </w:rPr>
        <w:t>按月测算</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全年汇总。</w:t>
      </w:r>
    </w:p>
    <w:p w14:paraId="680CC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 xml:space="preserve"> 3.专户资金不足：甲方在检查过程中，如乙方库存数量不足</w:t>
      </w:r>
      <w:r>
        <w:rPr>
          <w:rFonts w:hint="default" w:ascii="Times New Roman" w:hAnsi="Times New Roman" w:eastAsia="方正仿宋_GB2312" w:cs="Times New Roman"/>
          <w:color w:val="auto"/>
          <w:sz w:val="32"/>
          <w:szCs w:val="32"/>
          <w:highlight w:val="none"/>
          <w:lang w:val="en-US" w:eastAsia="zh-CN"/>
        </w:rPr>
        <w:t>90</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且不足90%的部分对应资金未存入专户的，</w:t>
      </w:r>
      <w:r>
        <w:rPr>
          <w:rFonts w:hint="default" w:ascii="Times New Roman" w:hAnsi="Times New Roman" w:eastAsia="方正仿宋_GB2312" w:cs="Times New Roman"/>
          <w:color w:val="auto"/>
          <w:sz w:val="32"/>
          <w:szCs w:val="32"/>
          <w:highlight w:val="none"/>
        </w:rPr>
        <w:t>第一次予以提醒，连续3次的，可向农发行申请冻结该专户或禁止出库。</w:t>
      </w:r>
    </w:p>
    <w:p w14:paraId="26CCD5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4.监控设备故障：乙方需确保仓内视频每天24小时在线率不低于95%。若每月储存地点仓内监控掉线累计时长达36小时，甲方每月扣保证金3000元；若每天仓内监控掉线连续时长达12小时，甲方每次扣保证金1000元。如因不可抗力或其他特殊原因导致监控设备故障，双方可另行协商解决。</w:t>
      </w:r>
    </w:p>
    <w:p w14:paraId="420C9B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5.管理不规范：乙方未按照“一符三专四落实”的有关规定，建立健全专账、专卡，或未做到账目齐全、仓内卫生干净整洁、堆码安全整齐、消防设施齐全、用电安全及作业安全等，且未按要求整改的，甲方每次扣罚100元保证金。</w:t>
      </w:r>
    </w:p>
    <w:p w14:paraId="66B74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2312" w:cs="Times New Roman"/>
          <w:color w:val="auto"/>
          <w:sz w:val="32"/>
          <w:szCs w:val="32"/>
          <w:highlight w:val="none"/>
        </w:rPr>
        <w:t>6.轮换不达标：</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若乙方全年未按本协议约定最低轮换量整体轮换1次的，</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且</w:t>
      </w:r>
      <w:r>
        <w:rPr>
          <w:rFonts w:hint="default" w:ascii="Times New Roman" w:hAnsi="Times New Roman" w:eastAsia="方正仿宋_GB2312" w:cs="Times New Roman"/>
          <w:color w:val="auto"/>
          <w:sz w:val="32"/>
          <w:szCs w:val="32"/>
          <w:highlight w:val="none"/>
        </w:rPr>
        <w:t>全年专户资金</w:t>
      </w:r>
      <w:r>
        <w:rPr>
          <w:rFonts w:hint="default" w:ascii="Times New Roman" w:hAnsi="Times New Roman" w:eastAsia="方正仿宋_GB2312" w:cs="Times New Roman"/>
          <w:color w:val="auto"/>
          <w:sz w:val="32"/>
          <w:szCs w:val="32"/>
          <w:highlight w:val="none"/>
          <w:lang w:val="en-US" w:eastAsia="zh-CN"/>
        </w:rPr>
        <w:t>进出流水低于【</w:t>
      </w:r>
      <w:r>
        <w:rPr>
          <w:rFonts w:hint="default" w:ascii="Times New Roman" w:hAnsi="Times New Roman" w:eastAsia="方正仿宋_GB2312" w:cs="Times New Roman"/>
          <w:color w:val="auto"/>
          <w:sz w:val="32"/>
          <w:szCs w:val="32"/>
          <w:highlight w:val="none"/>
        </w:rPr>
        <w:t>初始值总额</w:t>
      </w:r>
      <w:r>
        <w:rPr>
          <w:rFonts w:hint="default" w:ascii="Times New Roman" w:hAnsi="Times New Roman" w:eastAsia="方正仿宋_GB2312" w:cs="Times New Roman"/>
          <w:color w:val="auto"/>
          <w:sz w:val="32"/>
          <w:szCs w:val="32"/>
          <w:highlight w:val="none"/>
          <w:lang w:val="en-US" w:eastAsia="zh-CN"/>
        </w:rPr>
        <w:t>】2倍</w:t>
      </w:r>
      <w:r>
        <w:rPr>
          <w:rFonts w:hint="default" w:ascii="Times New Roman" w:hAnsi="Times New Roman" w:eastAsia="方正仿宋_GB2312" w:cs="Times New Roman"/>
          <w:color w:val="auto"/>
          <w:sz w:val="32"/>
          <w:szCs w:val="32"/>
          <w:highlight w:val="none"/>
        </w:rPr>
        <w:t>的</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2312" w:cs="Times New Roman"/>
          <w:color w:val="auto"/>
          <w:sz w:val="32"/>
          <w:szCs w:val="32"/>
          <w:highlight w:val="none"/>
        </w:rPr>
        <w:t>甲方将按年度实际未轮换数量，按233元/吨扣减相应保证金。</w:t>
      </w:r>
    </w:p>
    <w:p w14:paraId="4571CEF6">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第九条  违约责任</w:t>
      </w:r>
    </w:p>
    <w:p w14:paraId="541B8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（一）一般违约责任</w:t>
      </w:r>
    </w:p>
    <w:p w14:paraId="7145D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2312"/>
          <w:lang w:val="en-US" w:eastAsia="zh-CN"/>
        </w:rPr>
      </w:pPr>
      <w:r>
        <w:rPr>
          <w:rFonts w:hint="default" w:ascii="Times New Roman" w:hAnsi="Times New Roman" w:eastAsia="方正仿宋_GB2312" w:cs="Times New Roman"/>
          <w:color w:val="auto"/>
          <w:sz w:val="32"/>
          <w:szCs w:val="32"/>
          <w:highlight w:val="none"/>
        </w:rPr>
        <w:t>1.若乙方发生违约，</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甲方有权扣罚乙方保证金</w:t>
      </w:r>
      <w:r>
        <w:rPr>
          <w:rFonts w:hint="default" w:ascii="Times New Roman" w:hAnsi="Times New Roman" w:eastAsia="方正仿宋_GB2312" w:cs="Times New Roman"/>
          <w:color w:val="auto"/>
          <w:sz w:val="32"/>
          <w:szCs w:val="32"/>
          <w:highlight w:val="none"/>
        </w:rPr>
        <w:t>。若乙方拒不整改，甲方有权上报取消乙方代储资格。</w:t>
      </w:r>
    </w:p>
    <w:p w14:paraId="24E86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2.若合同期内乙方因违约被扣罚保证金，乙方需在接到甲方通知之日起三个工作日内向甲方缴纳相应金额以补足保证金，甲方再行支付代储费用。</w:t>
      </w:r>
    </w:p>
    <w:p w14:paraId="3B16A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（二）严重违约情形：乙方在代储动态轮换期间，未按照本协议规定做好代储管理工作，出现以下情况，甲方有权单方面终止合同，没收乙方全部保证金，乙方须承担一切责任及损失：</w:t>
      </w:r>
    </w:p>
    <w:p w14:paraId="5F58E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1.违规使用储备粮：乙方擅自将该批市级储备</w:t>
      </w:r>
      <w:r>
        <w:rPr>
          <w:rFonts w:hint="eastAsia" w:ascii="仿宋" w:hAnsi="仿宋" w:eastAsia="仿宋" w:cs="仿宋"/>
          <w:color w:val="auto"/>
          <w:sz w:val="32"/>
          <w:szCs w:val="32"/>
          <w:highlight w:val="none"/>
          <w:lang w:val="en-US" w:eastAsia="zh-CN"/>
        </w:rPr>
        <w:t>成品粮大米</w:t>
      </w:r>
      <w:r>
        <w:rPr>
          <w:rFonts w:hint="default" w:ascii="Times New Roman" w:hAnsi="Times New Roman" w:eastAsia="方正仿宋_GB2312" w:cs="Times New Roman"/>
          <w:color w:val="auto"/>
          <w:sz w:val="32"/>
          <w:szCs w:val="32"/>
          <w:highlight w:val="none"/>
        </w:rPr>
        <w:t>用于抵押、质押贷款、开展融资活动、提供担保、清偿债务和进行期现货实物交割等。</w:t>
      </w:r>
    </w:p>
    <w:p w14:paraId="1C2B1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2.擅自更改种类或地点：乙方擅自更改储备种类或储存地点。</w:t>
      </w:r>
    </w:p>
    <w:p w14:paraId="1787D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3.虚报库存数量：乙方虚报、拒报、瞒报储备库存数量。</w:t>
      </w:r>
    </w:p>
    <w:p w14:paraId="0720A6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4.冒充储备粮：乙方使用其他权属的粮油冒充市级储备</w:t>
      </w:r>
      <w:r>
        <w:rPr>
          <w:rFonts w:hint="eastAsia" w:ascii="仿宋" w:hAnsi="仿宋" w:eastAsia="仿宋" w:cs="仿宋"/>
          <w:color w:val="auto"/>
          <w:sz w:val="32"/>
          <w:szCs w:val="32"/>
          <w:highlight w:val="none"/>
          <w:lang w:val="en-US" w:eastAsia="zh-CN"/>
        </w:rPr>
        <w:t>成品粮大米</w:t>
      </w:r>
      <w:r>
        <w:rPr>
          <w:rFonts w:hint="default" w:ascii="Times New Roman" w:hAnsi="Times New Roman" w:eastAsia="方正仿宋_GB2312" w:cs="Times New Roman"/>
          <w:color w:val="auto"/>
          <w:sz w:val="32"/>
          <w:szCs w:val="32"/>
          <w:highlight w:val="none"/>
        </w:rPr>
        <w:t>。</w:t>
      </w:r>
    </w:p>
    <w:p w14:paraId="36460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5.食品安全问题：经检查发现乙方存在食品安全指标超标，且不按规定用途处置。存在掺杂使假，违规使用添加剂情形。</w:t>
      </w:r>
    </w:p>
    <w:p w14:paraId="13DC23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6.擅自委托代储或联合经营：乙方擅自委托代储，或者将成品</w:t>
      </w:r>
      <w:r>
        <w:rPr>
          <w:rFonts w:hint="eastAsia" w:ascii="Times New Roman" w:hAnsi="Times New Roman" w:eastAsia="方正仿宋_GB2312" w:cs="Times New Roman"/>
          <w:color w:val="auto"/>
          <w:sz w:val="32"/>
          <w:szCs w:val="32"/>
          <w:highlight w:val="none"/>
          <w:lang w:val="en-US" w:eastAsia="zh-CN"/>
        </w:rPr>
        <w:t>油</w:t>
      </w:r>
      <w:r>
        <w:rPr>
          <w:rFonts w:hint="default" w:ascii="Times New Roman" w:hAnsi="Times New Roman" w:eastAsia="方正仿宋_GB2312" w:cs="Times New Roman"/>
          <w:color w:val="auto"/>
          <w:sz w:val="32"/>
          <w:szCs w:val="32"/>
          <w:highlight w:val="none"/>
        </w:rPr>
        <w:t>或仓与其他经营主体联合经营的。</w:t>
      </w:r>
    </w:p>
    <w:p w14:paraId="6E9507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7.违规熏蒸：乙方违规熏蒸。</w:t>
      </w:r>
    </w:p>
    <w:p w14:paraId="6FCEA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8.质量不达标：在合同期限内，乙方未经批准，擅自降低市级储备</w:t>
      </w:r>
      <w:r>
        <w:rPr>
          <w:rFonts w:hint="eastAsia" w:ascii="仿宋" w:hAnsi="仿宋" w:eastAsia="仿宋" w:cs="仿宋"/>
          <w:color w:val="auto"/>
          <w:sz w:val="32"/>
          <w:szCs w:val="32"/>
          <w:highlight w:val="none"/>
          <w:lang w:val="en-US" w:eastAsia="zh-CN"/>
        </w:rPr>
        <w:t>成品粮大米</w:t>
      </w:r>
      <w:r>
        <w:rPr>
          <w:rFonts w:hint="default" w:ascii="Times New Roman" w:hAnsi="Times New Roman" w:eastAsia="方正仿宋_GB2312" w:cs="Times New Roman"/>
          <w:color w:val="auto"/>
          <w:sz w:val="32"/>
          <w:szCs w:val="32"/>
          <w:highlight w:val="none"/>
        </w:rPr>
        <w:t>等级和标准。</w:t>
      </w:r>
    </w:p>
    <w:p w14:paraId="77412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方正仿宋_GB2312" w:cs="Times New Roman"/>
          <w:color w:val="auto"/>
          <w:sz w:val="32"/>
          <w:szCs w:val="32"/>
          <w:highlight w:val="none"/>
        </w:rPr>
        <w:t>9.拒绝检查：乙方拒绝接受甲方及上级行管部门的检查、拒绝签字确认、提供资料等，包括拒绝甲方工作人员进场清点，或在甲方工作人员清点后，乙方拒绝予以书面确认或签字等。</w:t>
      </w:r>
    </w:p>
    <w:p w14:paraId="1F72FA5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方正仿宋_GB2312" w:cs="Times New Roman"/>
          <w:color w:val="auto"/>
          <w:sz w:val="32"/>
          <w:szCs w:val="32"/>
          <w:highlight w:val="none"/>
        </w:rPr>
        <w:t xml:space="preserve">  （三）其他违约情形</w:t>
      </w:r>
    </w:p>
    <w:p w14:paraId="348232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1.合同未满终止：因乙方原因造成合作期限未满</w:t>
      </w:r>
      <w:r>
        <w:rPr>
          <w:rFonts w:hint="eastAsia" w:ascii="Times New Roman" w:hAnsi="Times New Roman" w:eastAsia="方正仿宋_GB2312" w:cs="Times New Roman"/>
          <w:color w:val="auto"/>
          <w:sz w:val="32"/>
          <w:szCs w:val="32"/>
          <w:highlight w:val="none"/>
          <w:lang w:val="en-US" w:eastAsia="zh-CN"/>
        </w:rPr>
        <w:t>3</w:t>
      </w:r>
      <w:r>
        <w:rPr>
          <w:rFonts w:hint="default" w:ascii="Times New Roman" w:hAnsi="Times New Roman" w:eastAsia="方正仿宋_GB2312" w:cs="Times New Roman"/>
          <w:color w:val="auto"/>
          <w:sz w:val="32"/>
          <w:szCs w:val="32"/>
          <w:highlight w:val="none"/>
        </w:rPr>
        <w:t>年的，违约金按照</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83</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元】</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xx吨】</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365×剩余合同未履约天数（一年按照365天计算）×20%</w:t>
      </w:r>
      <w:r>
        <w:rPr>
          <w:rFonts w:hint="default" w:ascii="Times New Roman" w:hAnsi="Times New Roman" w:eastAsia="方正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计算</w:t>
      </w:r>
      <w:r>
        <w:rPr>
          <w:rFonts w:hint="default" w:ascii="Times New Roman" w:hAnsi="Times New Roman" w:eastAsia="方正仿宋_GB2312" w:cs="Times New Roman"/>
          <w:color w:val="auto"/>
          <w:sz w:val="32"/>
          <w:szCs w:val="32"/>
          <w:highlight w:val="none"/>
        </w:rPr>
        <w:t>。针对乙方产生的违约金，甲方有权直接从应支付给乙方的款项中扣除，不足部分从缴纳的履约保证金中扣除，仍不足部分甲方有权向乙方追偿。</w:t>
      </w:r>
    </w:p>
    <w:p w14:paraId="33445D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2.逾期归还成品粮初始值：若乙方未按</w:t>
      </w:r>
      <w:r>
        <w:rPr>
          <w:rFonts w:hint="default" w:ascii="Times New Roman" w:hAnsi="Times New Roman" w:eastAsia="方正仿宋_GB2312" w:cs="Times New Roman"/>
          <w:color w:val="auto"/>
          <w:sz w:val="32"/>
          <w:szCs w:val="32"/>
          <w:highlight w:val="none"/>
          <w:lang w:val="en-US" w:eastAsia="zh-CN"/>
        </w:rPr>
        <w:t>照甲方上级行管部门批复文件要求的贷款归还时限归还甲方初始值总额</w:t>
      </w:r>
      <w:r>
        <w:rPr>
          <w:rFonts w:hint="eastAsia" w:ascii="仿宋" w:hAnsi="仿宋" w:eastAsia="仿宋" w:cs="仿宋"/>
          <w:color w:val="auto"/>
          <w:sz w:val="32"/>
          <w:szCs w:val="32"/>
          <w:highlight w:val="none"/>
          <w:u w:val="single"/>
        </w:rPr>
        <w:t>￥</w:t>
      </w:r>
      <w:r>
        <w:rPr>
          <w:rFonts w:hint="default" w:ascii="仿宋" w:hAnsi="仿宋" w:eastAsia="仿宋" w:cs="仿宋"/>
          <w:color w:val="auto"/>
          <w:sz w:val="32"/>
          <w:szCs w:val="32"/>
          <w:highlight w:val="none"/>
          <w:u w:val="single"/>
          <w:lang w:val="en-US" w:eastAsia="zh-CN"/>
        </w:rPr>
        <w:t>xxxx</w:t>
      </w:r>
      <w:r>
        <w:rPr>
          <w:rFonts w:hint="eastAsia" w:ascii="仿宋" w:hAnsi="仿宋" w:eastAsia="仿宋" w:cs="仿宋"/>
          <w:color w:val="auto"/>
          <w:sz w:val="32"/>
          <w:szCs w:val="32"/>
          <w:highlight w:val="none"/>
          <w:u w:val="single"/>
          <w:lang w:val="en-US" w:eastAsia="zh-CN"/>
        </w:rPr>
        <w:t>元</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大写：</w:t>
      </w:r>
      <w:r>
        <w:rPr>
          <w:rFonts w:hint="default" w:ascii="仿宋" w:hAnsi="仿宋" w:eastAsia="仿宋" w:cs="仿宋"/>
          <w:color w:val="auto"/>
          <w:sz w:val="32"/>
          <w:szCs w:val="32"/>
          <w:highlight w:val="none"/>
          <w:u w:val="single"/>
          <w:lang w:val="en-US"/>
        </w:rPr>
        <w:t>xxxx</w:t>
      </w:r>
      <w:r>
        <w:rPr>
          <w:rFonts w:hint="eastAsia" w:ascii="仿宋" w:hAnsi="仿宋" w:eastAsia="仿宋" w:cs="仿宋"/>
          <w:color w:val="auto"/>
          <w:sz w:val="32"/>
          <w:szCs w:val="32"/>
          <w:highlight w:val="none"/>
          <w:u w:val="single"/>
        </w:rPr>
        <w:t>元整</w:t>
      </w:r>
      <w:r>
        <w:rPr>
          <w:rFonts w:hint="eastAsia" w:ascii="仿宋" w:hAnsi="仿宋" w:eastAsia="仿宋" w:cs="仿宋"/>
          <w:color w:val="auto"/>
          <w:sz w:val="32"/>
          <w:szCs w:val="32"/>
          <w:highlight w:val="none"/>
          <w:u w:val="single"/>
          <w:lang w:eastAsia="zh-CN"/>
        </w:rPr>
        <w:t>）</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rPr>
        <w:t>乙方须按照未归还金额每日0.5‰支付违约金，</w:t>
      </w:r>
      <w:r>
        <w:rPr>
          <w:rFonts w:hint="eastAsia" w:ascii="Times New Roman" w:hAnsi="Times New Roman" w:eastAsia="方正仿宋_GB2312" w:cs="Times New Roman"/>
          <w:color w:val="auto"/>
          <w:sz w:val="32"/>
          <w:szCs w:val="32"/>
          <w:highlight w:val="none"/>
          <w:lang w:val="en-US" w:eastAsia="zh-CN"/>
        </w:rPr>
        <w:t>并承担资金占用费，</w:t>
      </w:r>
      <w:r>
        <w:rPr>
          <w:rFonts w:hint="default" w:ascii="Times New Roman" w:hAnsi="Times New Roman" w:eastAsia="方正仿宋_GB2312" w:cs="Times New Roman"/>
          <w:color w:val="auto"/>
          <w:sz w:val="32"/>
          <w:szCs w:val="32"/>
          <w:highlight w:val="none"/>
        </w:rPr>
        <w:t>不足部分由乙方另行赔偿。同时，甲方有权对该批市级储备</w:t>
      </w:r>
      <w:r>
        <w:rPr>
          <w:rFonts w:hint="eastAsia" w:ascii="仿宋" w:hAnsi="仿宋" w:eastAsia="仿宋" w:cs="仿宋"/>
          <w:color w:val="auto"/>
          <w:sz w:val="32"/>
          <w:szCs w:val="32"/>
          <w:highlight w:val="none"/>
          <w:lang w:val="en-US" w:eastAsia="zh-CN"/>
        </w:rPr>
        <w:t>成品粮大米</w:t>
      </w:r>
      <w:r>
        <w:rPr>
          <w:rFonts w:hint="default" w:ascii="Times New Roman" w:hAnsi="Times New Roman" w:eastAsia="方正仿宋_GB2312" w:cs="Times New Roman"/>
          <w:color w:val="auto"/>
          <w:sz w:val="32"/>
          <w:szCs w:val="32"/>
          <w:highlight w:val="none"/>
        </w:rPr>
        <w:t>库存粮</w:t>
      </w:r>
      <w:r>
        <w:rPr>
          <w:rFonts w:hint="eastAsia" w:ascii="Times New Roman" w:hAnsi="Times New Roman" w:eastAsia="方正仿宋_GB2312" w:cs="Times New Roman"/>
          <w:color w:val="auto"/>
          <w:sz w:val="32"/>
          <w:szCs w:val="32"/>
          <w:highlight w:val="none"/>
          <w:lang w:val="en-US" w:eastAsia="zh-CN"/>
        </w:rPr>
        <w:t>油</w:t>
      </w:r>
      <w:r>
        <w:rPr>
          <w:rFonts w:hint="default" w:ascii="Times New Roman" w:hAnsi="Times New Roman" w:eastAsia="方正仿宋_GB2312" w:cs="Times New Roman"/>
          <w:color w:val="auto"/>
          <w:sz w:val="32"/>
          <w:szCs w:val="32"/>
          <w:highlight w:val="none"/>
        </w:rPr>
        <w:t>进行处置，不足金额甲方将使用乙方提供的担保冲抵。乙方须承担占用资金产生的一切责任及经济损失。</w:t>
      </w:r>
    </w:p>
    <w:p w14:paraId="06DE4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（四）其他违法违规行为：参照《中华人民共和国粮食安全保障法》《中华人民共和国食品安全法》《粮食流通管理条例》等国家法律法规及行业相关管理规定执行。</w:t>
      </w:r>
    </w:p>
    <w:p w14:paraId="68F2EBAF">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第十条 担保</w:t>
      </w:r>
    </w:p>
    <w:p w14:paraId="5CA24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担保要求：</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乙方须</w:t>
      </w:r>
      <w:r>
        <w:rPr>
          <w:rFonts w:hint="eastAsia" w:ascii="Times New Roman" w:hAnsi="Times New Roman" w:eastAsia="方正仿宋_GB2312" w:cs="Times New Roman"/>
          <w:color w:val="000000" w:themeColor="text1"/>
          <w:sz w:val="32"/>
          <w:szCs w:val="32"/>
          <w:highlight w:val="none"/>
          <w:lang w:eastAsia="zh-CN"/>
          <w14:textFill>
            <w14:solidFill>
              <w14:schemeClr w14:val="tx1"/>
            </w14:solidFill>
          </w14:textFill>
        </w:rPr>
        <w:t>及时提供担保相关资料并配合甲方在综合验收之前</w:t>
      </w:r>
      <w:bookmarkStart w:id="6" w:name="_GoBack"/>
      <w:bookmarkEnd w:id="6"/>
      <w:r>
        <w:rPr>
          <w:rFonts w:hint="eastAsia" w:ascii="Times New Roman" w:hAnsi="Times New Roman" w:eastAsia="方正仿宋_GB2312" w:cs="Times New Roman"/>
          <w:strike w:val="0"/>
          <w:dstrike w:val="0"/>
          <w:color w:val="000000" w:themeColor="text1"/>
          <w:sz w:val="32"/>
          <w:szCs w:val="32"/>
          <w:highlight w:val="none"/>
          <w:lang w:val="en-US" w:eastAsia="zh-CN"/>
          <w14:textFill>
            <w14:solidFill>
              <w14:schemeClr w14:val="tx1"/>
            </w14:solidFill>
          </w14:textFill>
        </w:rPr>
        <w:t>完成担保</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w:t>
      </w:r>
    </w:p>
    <w:p w14:paraId="51E8D9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担保方式：担保方式可选择抵押、质押或保函等甲方认可的有效担保方式。</w:t>
      </w:r>
    </w:p>
    <w:p w14:paraId="5193D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评估要求：若选择抵押或质押，由甲方聘请第三方评估机构对所抵押或质押资产出具评估报告，并明确约定抵押、质押财物的具体描述、估值等担保资料。配合签订抵押合同等。以上担保方式的受益人须为甲方。</w:t>
      </w:r>
    </w:p>
    <w:p w14:paraId="250BE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担保终止：乙方按该批市级储备成品油初始值总额全额归还甲方及双方债权债务结算完毕后，担保终止。</w:t>
      </w:r>
    </w:p>
    <w:p w14:paraId="4B3131E8">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第十一条 合同的生效、终止及解除</w:t>
      </w:r>
    </w:p>
    <w:p w14:paraId="17DA92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1.合同生效：本协议经双方法定代表人或其委托代理人签字，并加盖单位公章后成立，自乙方提供担保及保证金之日起生效。</w:t>
      </w:r>
    </w:p>
    <w:p w14:paraId="5DF1D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2.正常终止：若因储备规模调整、储备动态轮换协议期满后不再续约或协议终止等情况，</w:t>
      </w:r>
      <w:r>
        <w:rPr>
          <w:rFonts w:hint="default" w:ascii="Times New Roman" w:hAnsi="Times New Roman" w:eastAsia="方正仿宋_GB2312" w:cs="Times New Roman"/>
          <w:color w:val="auto"/>
          <w:sz w:val="32"/>
          <w:szCs w:val="32"/>
          <w:highlight w:val="none"/>
          <w:lang w:val="en-US" w:eastAsia="zh-CN"/>
        </w:rPr>
        <w:t>乙方</w:t>
      </w:r>
      <w:r>
        <w:rPr>
          <w:rFonts w:hint="default" w:ascii="Times New Roman" w:hAnsi="Times New Roman" w:eastAsia="方正仿宋_GB2312" w:cs="Times New Roman"/>
          <w:color w:val="auto"/>
          <w:sz w:val="32"/>
          <w:szCs w:val="32"/>
          <w:highlight w:val="none"/>
        </w:rPr>
        <w:t>按</w:t>
      </w:r>
      <w:r>
        <w:rPr>
          <w:rFonts w:hint="default" w:ascii="Times New Roman" w:hAnsi="Times New Roman" w:eastAsia="方正仿宋_GB2312" w:cs="Times New Roman"/>
          <w:color w:val="auto"/>
          <w:sz w:val="32"/>
          <w:szCs w:val="32"/>
          <w:highlight w:val="none"/>
          <w:lang w:val="en-US" w:eastAsia="zh-CN"/>
        </w:rPr>
        <w:t>照甲方上级行管部门批复文件要求的贷款归还时限归还甲方初始值总额</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lang w:val="en-US" w:eastAsia="zh-CN"/>
        </w:rPr>
        <w:t>xx元</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大写：xx</w:t>
      </w:r>
      <w:r>
        <w:rPr>
          <w:rFonts w:hint="eastAsia" w:ascii="仿宋" w:hAnsi="仿宋" w:eastAsia="仿宋" w:cs="仿宋"/>
          <w:color w:val="auto"/>
          <w:sz w:val="32"/>
          <w:szCs w:val="32"/>
          <w:highlight w:val="none"/>
          <w:u w:val="single"/>
        </w:rPr>
        <w:t>元整</w:t>
      </w:r>
      <w:r>
        <w:rPr>
          <w:rFonts w:hint="default" w:ascii="Times New Roman" w:hAnsi="Times New Roman" w:eastAsia="方正仿宋_GB2312" w:cs="Times New Roman"/>
          <w:color w:val="auto"/>
          <w:sz w:val="32"/>
          <w:szCs w:val="32"/>
          <w:highlight w:val="none"/>
        </w:rPr>
        <w:t>（账户信息：贵阳市粮食储备管理有限公司，账号：20352010200100000701821，开户行：中国农业发展银行贵阳市南明区支行）。</w:t>
      </w:r>
    </w:p>
    <w:p w14:paraId="6EA06C66">
      <w:pPr>
        <w:ind w:firstLine="640" w:firstLineChars="200"/>
        <w:jc w:val="left"/>
        <w:rPr>
          <w:rFonts w:hint="default" w:ascii="Times New Roman" w:hAnsi="Times New Roman" w:eastAsia="方正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第十二条 解决协议纠纷的方式</w:t>
      </w:r>
    </w:p>
    <w:p w14:paraId="220402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补充协议：本协议未尽事宜，双方另行商定补充，补充协议和本协议具有同等法律效力争议解决：在协议执行过程中，双方发生争议，应首先通过协商解决。协商不成时，任何一方可向甲方所在地有管辖权的人民法院提起诉讼。</w:t>
      </w:r>
    </w:p>
    <w:p w14:paraId="7C6F85E7">
      <w:pPr>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第十三条 其他</w:t>
      </w:r>
    </w:p>
    <w:p w14:paraId="2E4BE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甲方文件、资料送达地址及联系方式：</w:t>
      </w:r>
      <w:r>
        <w:rPr>
          <w:rFonts w:hint="default" w:ascii="Times New Roman" w:hAnsi="Times New Roman" w:eastAsia="仿宋_GB2312" w:cs="Times New Roman"/>
          <w:color w:val="auto"/>
          <w:sz w:val="32"/>
          <w:szCs w:val="32"/>
          <w:highlight w:val="none"/>
          <w:u w:val="single"/>
        </w:rPr>
        <w:t>贵州省贵阳市花溪区湖潮苗族布依族乡贵安大道西南粮食城项目部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联系人</w:t>
      </w:r>
      <w:r>
        <w:rPr>
          <w:rFonts w:hint="eastAsia" w:ascii="Times New Roman" w:hAnsi="Times New Roman" w:eastAsia="仿宋_GB2312" w:cs="Times New Roman"/>
          <w:color w:val="auto"/>
          <w:sz w:val="32"/>
          <w:szCs w:val="32"/>
          <w:highlight w:val="none"/>
          <w:u w:val="single"/>
          <w:lang w:val="en-US" w:eastAsia="zh-CN"/>
        </w:rPr>
        <w:t>:孙琳娜</w:t>
      </w:r>
      <w:r>
        <w:rPr>
          <w:rFonts w:hint="default"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u w:val="single"/>
        </w:rPr>
        <w:t>联系方式</w:t>
      </w:r>
      <w:r>
        <w:rPr>
          <w:rFonts w:hint="eastAsia" w:ascii="Times New Roman" w:hAnsi="Times New Roman" w:eastAsia="仿宋_GB2312" w:cs="Times New Roman"/>
          <w:color w:val="auto"/>
          <w:sz w:val="32"/>
          <w:szCs w:val="32"/>
          <w:highlight w:val="none"/>
          <w:u w:val="single"/>
          <w:lang w:val="en-US" w:eastAsia="zh-CN"/>
        </w:rPr>
        <w:t>13595010088</w:t>
      </w:r>
      <w:r>
        <w:rPr>
          <w:rFonts w:hint="default" w:ascii="Times New Roman" w:hAnsi="Times New Roman" w:eastAsia="仿宋_GB2312" w:cs="Times New Roman"/>
          <w:color w:val="auto"/>
          <w:sz w:val="32"/>
          <w:szCs w:val="32"/>
          <w:highlight w:val="none"/>
          <w:u w:val="single"/>
          <w:lang w:val="en-US" w:eastAsia="zh-CN"/>
        </w:rPr>
        <w:t xml:space="preserve">； </w:t>
      </w:r>
    </w:p>
    <w:p w14:paraId="7C792F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u w:val="single"/>
        </w:rPr>
        <w:t xml:space="preserve">乙方文件、资料送达地址：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联系人：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联系方式：</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374F3BE3">
      <w:pPr>
        <w:numPr>
          <w:ilvl w:val="0"/>
          <w:numId w:val="0"/>
        </w:numPr>
        <w:ind w:firstLine="640" w:firstLineChars="200"/>
        <w:rPr>
          <w:rFonts w:hint="default" w:ascii="Times New Roman" w:hAnsi="Times New Roman" w:cs="Times New Roman"/>
          <w:color w:val="auto"/>
          <w:highlight w:val="none"/>
        </w:rPr>
      </w:pPr>
      <w:r>
        <w:rPr>
          <w:rFonts w:hint="default" w:ascii="Times New Roman" w:hAnsi="Times New Roman" w:eastAsia="黑体" w:cs="Times New Roman"/>
          <w:color w:val="auto"/>
          <w:sz w:val="32"/>
          <w:szCs w:val="32"/>
          <w:highlight w:val="none"/>
          <w:lang w:val="en-US" w:eastAsia="zh-CN"/>
        </w:rPr>
        <w:t xml:space="preserve">第十四条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本协议一式陆份，甲乙双方各执叁份，自双方盖章、签字之日起生效。</w:t>
      </w:r>
    </w:p>
    <w:p w14:paraId="3A6E2FAB">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附件：1.粮食移交清单</w:t>
      </w:r>
    </w:p>
    <w:p w14:paraId="028C4783">
      <w:pPr>
        <w:pStyle w:val="2"/>
        <w:numPr>
          <w:ilvl w:val="0"/>
          <w:numId w:val="0"/>
        </w:numPr>
        <w:ind w:leftChars="162"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考核评分细则</w:t>
      </w:r>
    </w:p>
    <w:p w14:paraId="38E844F9">
      <w:pPr>
        <w:rPr>
          <w:rFonts w:hint="default" w:ascii="Times New Roman" w:hAnsi="Times New Roman" w:eastAsia="仿宋_GB2312" w:cs="Times New Roman"/>
          <w:color w:val="auto"/>
          <w:sz w:val="32"/>
          <w:szCs w:val="32"/>
          <w:highlight w:val="none"/>
        </w:rPr>
      </w:pPr>
    </w:p>
    <w:p w14:paraId="3078B5AF">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甲方（盖章）：                  乙方（盖章）：</w:t>
      </w:r>
    </w:p>
    <w:p w14:paraId="2B84D44C">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代表（签字）：                  代表（签字）：</w:t>
      </w:r>
    </w:p>
    <w:p w14:paraId="3846479C">
      <w:pPr>
        <w:rPr>
          <w:rFonts w:hint="default" w:ascii="Times New Roman" w:hAnsi="Times New Roman" w:eastAsia="仿宋_GB2312" w:cs="Times New Roman"/>
          <w:color w:val="auto"/>
          <w:sz w:val="32"/>
          <w:szCs w:val="32"/>
          <w:highlight w:val="none"/>
        </w:rPr>
      </w:pPr>
    </w:p>
    <w:p w14:paraId="6BD2F732">
      <w:pPr>
        <w:ind w:firstLine="3840" w:firstLineChars="1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签订日期：</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X</w:t>
      </w:r>
      <w:r>
        <w:rPr>
          <w:rFonts w:hint="default" w:ascii="Times New Roman" w:hAnsi="Times New Roman" w:eastAsia="仿宋_GB2312" w:cs="Times New Roman"/>
          <w:color w:val="auto"/>
          <w:sz w:val="32"/>
          <w:szCs w:val="32"/>
          <w:highlight w:val="none"/>
        </w:rPr>
        <w:t>日</w:t>
      </w:r>
    </w:p>
    <w:p w14:paraId="709CA2F5">
      <w:pPr>
        <w:rPr>
          <w:rFonts w:hint="default" w:ascii="Times New Roman" w:hAnsi="Times New Roman" w:eastAsia="仿宋_GB2312" w:cs="Times New Roman"/>
          <w:color w:val="auto"/>
          <w:sz w:val="32"/>
          <w:szCs w:val="32"/>
          <w:highlight w:val="none"/>
        </w:rPr>
      </w:pPr>
    </w:p>
    <w:sectPr>
      <w:footerReference r:id="rId3" w:type="default"/>
      <w:pgSz w:w="11906" w:h="16838"/>
      <w:pgMar w:top="1440" w:right="1800" w:bottom="1440" w:left="1800"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alibri Light">
    <w:altName w:val="DejaVu Sans"/>
    <w:panose1 w:val="020F0302020204030204"/>
    <w:charset w:val="00"/>
    <w:family w:val="auto"/>
    <w:pitch w:val="default"/>
    <w:sig w:usb0="00000000" w:usb1="00000000" w:usb2="00000009" w:usb3="00000000" w:csb0="200001F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5C18C">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FBCCD">
                          <w:pPr>
                            <w:pStyle w:val="5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FBCCD">
                    <w:pPr>
                      <w:pStyle w:val="5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DC78CE72"/>
    <w:multiLevelType w:val="singleLevel"/>
    <w:tmpl w:val="DC78CE72"/>
    <w:lvl w:ilvl="0" w:tentative="0">
      <w:start w:val="1"/>
      <w:numFmt w:val="decimal"/>
      <w:pStyle w:val="690"/>
      <w:lvlText w:val="[%1]"/>
      <w:lvlJc w:val="left"/>
      <w:pPr>
        <w:tabs>
          <w:tab w:val="left" w:pos="420"/>
        </w:tabs>
        <w:ind w:left="425" w:hanging="425"/>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EF81268F"/>
    <w:multiLevelType w:val="singleLevel"/>
    <w:tmpl w:val="EF81268F"/>
    <w:lvl w:ilvl="0" w:tentative="0">
      <w:start w:val="1"/>
      <w:numFmt w:val="decimal"/>
      <w:pStyle w:val="694"/>
      <w:suff w:val="space"/>
      <w:lvlText w:val="图%1"/>
      <w:lvlJc w:val="left"/>
      <w:pPr>
        <w:ind w:left="425" w:hanging="425"/>
      </w:pPr>
    </w:lvl>
  </w:abstractNum>
  <w:abstractNum w:abstractNumId="5">
    <w:nsid w:val="0382B6CA"/>
    <w:multiLevelType w:val="singleLevel"/>
    <w:tmpl w:val="0382B6CA"/>
    <w:lvl w:ilvl="0" w:tentative="0">
      <w:start w:val="1"/>
      <w:numFmt w:val="decimal"/>
      <w:pStyle w:val="693"/>
      <w:suff w:val="space"/>
      <w:lvlText w:val="表%1"/>
      <w:lvlJc w:val="left"/>
      <w:pPr>
        <w:ind w:left="425" w:hanging="425"/>
      </w:pPr>
    </w:lvl>
  </w:abstractNum>
  <w:abstractNum w:abstractNumId="6">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7">
    <w:nsid w:val="22B4D954"/>
    <w:multiLevelType w:val="singleLevel"/>
    <w:tmpl w:val="22B4D954"/>
    <w:lvl w:ilvl="0" w:tentative="0">
      <w:start w:val="1"/>
      <w:numFmt w:val="decimal"/>
      <w:pStyle w:val="21"/>
      <w:lvlText w:val="%1."/>
      <w:lvlJc w:val="left"/>
      <w:pPr>
        <w:tabs>
          <w:tab w:val="left" w:pos="360"/>
        </w:tabs>
        <w:ind w:left="360" w:hanging="360"/>
      </w:pPr>
    </w:lvl>
  </w:abstractNum>
  <w:abstractNum w:abstractNumId="8">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5F4F22E9"/>
    <w:multiLevelType w:val="singleLevel"/>
    <w:tmpl w:val="5F4F22E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1">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2">
    <w:nsid w:val="7B9DAE66"/>
    <w:multiLevelType w:val="singleLevel"/>
    <w:tmpl w:val="7B9DAE66"/>
    <w:lvl w:ilvl="0" w:tentative="0">
      <w:start w:val="1"/>
      <w:numFmt w:val="bullet"/>
      <w:pStyle w:val="34"/>
      <w:lvlText w:val=""/>
      <w:lvlJc w:val="left"/>
      <w:pPr>
        <w:tabs>
          <w:tab w:val="left" w:pos="1200"/>
        </w:tabs>
        <w:ind w:left="1200" w:hanging="360"/>
      </w:pPr>
      <w:rPr>
        <w:rFonts w:hint="default" w:ascii="Wingdings" w:hAnsi="Wingdings"/>
      </w:rPr>
    </w:lvl>
  </w:abstractNum>
  <w:num w:numId="1">
    <w:abstractNumId w:val="6"/>
  </w:num>
  <w:num w:numId="2">
    <w:abstractNumId w:val="0"/>
  </w:num>
  <w:num w:numId="3">
    <w:abstractNumId w:val="7"/>
  </w:num>
  <w:num w:numId="4">
    <w:abstractNumId w:val="10"/>
  </w:num>
  <w:num w:numId="5">
    <w:abstractNumId w:val="12"/>
  </w:num>
  <w:num w:numId="6">
    <w:abstractNumId w:val="8"/>
  </w:num>
  <w:num w:numId="7">
    <w:abstractNumId w:val="11"/>
  </w:num>
  <w:num w:numId="8">
    <w:abstractNumId w:val="3"/>
  </w:num>
  <w:num w:numId="9">
    <w:abstractNumId w:val="1"/>
  </w:num>
  <w:num w:numId="10">
    <w:abstractNumId w:val="9"/>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GFjMTUyMmY2MDg4MzIxNGFiZjExOTU0YTBhMjcifQ=="/>
    <w:docVar w:name="KSO_WPS_MARK_KEY" w:val="4ab8b215-259f-43a1-90e6-b689c91d2868"/>
  </w:docVars>
  <w:rsids>
    <w:rsidRoot w:val="44A24F25"/>
    <w:rsid w:val="008B1CDA"/>
    <w:rsid w:val="00994621"/>
    <w:rsid w:val="00C318A0"/>
    <w:rsid w:val="00E74817"/>
    <w:rsid w:val="00F234CD"/>
    <w:rsid w:val="0298460B"/>
    <w:rsid w:val="05FC46D4"/>
    <w:rsid w:val="07630750"/>
    <w:rsid w:val="07B3575B"/>
    <w:rsid w:val="08C77405"/>
    <w:rsid w:val="0A256191"/>
    <w:rsid w:val="0AAC0FB6"/>
    <w:rsid w:val="0D2D66D4"/>
    <w:rsid w:val="0E9B1118"/>
    <w:rsid w:val="109C2F25"/>
    <w:rsid w:val="10EE19D3"/>
    <w:rsid w:val="12BC165D"/>
    <w:rsid w:val="13896BB4"/>
    <w:rsid w:val="1432607A"/>
    <w:rsid w:val="14887A48"/>
    <w:rsid w:val="156C2EC6"/>
    <w:rsid w:val="1A7840BB"/>
    <w:rsid w:val="1C2C37A0"/>
    <w:rsid w:val="1F1222CE"/>
    <w:rsid w:val="1F796253"/>
    <w:rsid w:val="211C34E3"/>
    <w:rsid w:val="261F21D6"/>
    <w:rsid w:val="26B56E44"/>
    <w:rsid w:val="2725381D"/>
    <w:rsid w:val="273E6F38"/>
    <w:rsid w:val="29B175E9"/>
    <w:rsid w:val="2C5F157F"/>
    <w:rsid w:val="2CB30463"/>
    <w:rsid w:val="2E800451"/>
    <w:rsid w:val="2EED69CE"/>
    <w:rsid w:val="2EFE507F"/>
    <w:rsid w:val="3047022C"/>
    <w:rsid w:val="32AF1712"/>
    <w:rsid w:val="343E1A7A"/>
    <w:rsid w:val="3600792F"/>
    <w:rsid w:val="36603F29"/>
    <w:rsid w:val="37227431"/>
    <w:rsid w:val="3AC76C6D"/>
    <w:rsid w:val="3B522C32"/>
    <w:rsid w:val="3E387672"/>
    <w:rsid w:val="3E4C615B"/>
    <w:rsid w:val="3F285800"/>
    <w:rsid w:val="40092DEC"/>
    <w:rsid w:val="409A44DC"/>
    <w:rsid w:val="40AC2526"/>
    <w:rsid w:val="41665369"/>
    <w:rsid w:val="421E6786"/>
    <w:rsid w:val="42DA2257"/>
    <w:rsid w:val="44147A6B"/>
    <w:rsid w:val="44A24F25"/>
    <w:rsid w:val="482D7B37"/>
    <w:rsid w:val="4D1A2491"/>
    <w:rsid w:val="4DCF4F07"/>
    <w:rsid w:val="4E3240C5"/>
    <w:rsid w:val="4ED41501"/>
    <w:rsid w:val="4F0A1409"/>
    <w:rsid w:val="4FFE47CB"/>
    <w:rsid w:val="53A87250"/>
    <w:rsid w:val="55BE25C3"/>
    <w:rsid w:val="574B7E86"/>
    <w:rsid w:val="579D4CD1"/>
    <w:rsid w:val="586264AE"/>
    <w:rsid w:val="59965D30"/>
    <w:rsid w:val="5A9578FF"/>
    <w:rsid w:val="5F7E156B"/>
    <w:rsid w:val="5FD053D7"/>
    <w:rsid w:val="606E3563"/>
    <w:rsid w:val="62AF7E63"/>
    <w:rsid w:val="64042DAA"/>
    <w:rsid w:val="64A7206F"/>
    <w:rsid w:val="6A667059"/>
    <w:rsid w:val="6BB838E4"/>
    <w:rsid w:val="6E1868BC"/>
    <w:rsid w:val="6E5A4B8C"/>
    <w:rsid w:val="6F09042D"/>
    <w:rsid w:val="6F352C11"/>
    <w:rsid w:val="6F3C490B"/>
    <w:rsid w:val="6F8E00BC"/>
    <w:rsid w:val="6FD64C81"/>
    <w:rsid w:val="71895EAD"/>
    <w:rsid w:val="7306587D"/>
    <w:rsid w:val="735E49AD"/>
    <w:rsid w:val="736305DA"/>
    <w:rsid w:val="747C351C"/>
    <w:rsid w:val="7655A18A"/>
    <w:rsid w:val="774B7893"/>
    <w:rsid w:val="7BD61B65"/>
    <w:rsid w:val="7DDA4B0A"/>
    <w:rsid w:val="7F3E014D"/>
    <w:rsid w:val="7F44254B"/>
    <w:rsid w:val="7F5D8CCA"/>
    <w:rsid w:val="7FF22266"/>
    <w:rsid w:val="8B6DA918"/>
    <w:rsid w:val="DDDBBB0A"/>
    <w:rsid w:val="DFFF9C09"/>
    <w:rsid w:val="E9EC29D3"/>
    <w:rsid w:val="FFBF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559"/>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42"/>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9">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1">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1">
    <w:name w:val="Default Paragraph Font"/>
    <w:semiHidden/>
    <w:qFormat/>
    <w:uiPriority w:val="0"/>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0"/>
    <w:qFormat/>
    <w:uiPriority w:val="0"/>
    <w:pPr>
      <w:spacing w:after="120" w:afterLines="0" w:afterAutospacing="0"/>
    </w:pPr>
  </w:style>
  <w:style w:type="paragraph" w:styleId="3">
    <w:name w:val="macro"/>
    <w:link w:val="66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table of authorities"/>
    <w:basedOn w:val="1"/>
    <w:next w:val="1"/>
    <w:qFormat/>
    <w:uiPriority w:val="0"/>
    <w:pPr>
      <w:ind w:left="420" w:leftChars="200"/>
    </w:pPr>
  </w:style>
  <w:style w:type="paragraph" w:styleId="17">
    <w:name w:val="Note Heading"/>
    <w:basedOn w:val="1"/>
    <w:next w:val="1"/>
    <w:link w:val="671"/>
    <w:qFormat/>
    <w:uiPriority w:val="0"/>
    <w:pPr>
      <w:jc w:val="center"/>
    </w:pPr>
  </w:style>
  <w:style w:type="paragraph" w:styleId="18">
    <w:name w:val="List Bullet 4"/>
    <w:basedOn w:val="1"/>
    <w:qFormat/>
    <w:uiPriority w:val="0"/>
    <w:pPr>
      <w:numPr>
        <w:ilvl w:val="0"/>
        <w:numId w:val="2"/>
      </w:numPr>
    </w:pPr>
  </w:style>
  <w:style w:type="paragraph" w:styleId="19">
    <w:name w:val="index 8"/>
    <w:basedOn w:val="1"/>
    <w:next w:val="1"/>
    <w:qFormat/>
    <w:uiPriority w:val="0"/>
    <w:pPr>
      <w:ind w:left="1400" w:leftChars="1400"/>
    </w:pPr>
  </w:style>
  <w:style w:type="paragraph" w:styleId="20">
    <w:name w:val="E-mail Signature"/>
    <w:basedOn w:val="1"/>
    <w:link w:val="665"/>
    <w:qFormat/>
    <w:uiPriority w:val="0"/>
  </w:style>
  <w:style w:type="paragraph" w:styleId="21">
    <w:name w:val="List Number"/>
    <w:basedOn w:val="1"/>
    <w:qFormat/>
    <w:uiPriority w:val="0"/>
    <w:pPr>
      <w:numPr>
        <w:ilvl w:val="0"/>
        <w:numId w:val="3"/>
      </w:numPr>
    </w:pPr>
  </w:style>
  <w:style w:type="paragraph" w:styleId="22">
    <w:name w:val="Normal Indent"/>
    <w:basedOn w:val="1"/>
    <w:qFormat/>
    <w:uiPriority w:val="0"/>
    <w:pPr>
      <w:ind w:firstLine="420" w:firstLineChars="200"/>
    </w:pPr>
  </w:style>
  <w:style w:type="paragraph" w:styleId="23">
    <w:name w:val="caption"/>
    <w:basedOn w:val="1"/>
    <w:next w:val="1"/>
    <w:semiHidden/>
    <w:unhideWhenUsed/>
    <w:qFormat/>
    <w:uiPriority w:val="0"/>
    <w:rPr>
      <w:rFonts w:ascii="Arial" w:hAnsi="Arial" w:eastAsia="黑体"/>
      <w:sz w:val="20"/>
    </w:rPr>
  </w:style>
  <w:style w:type="paragraph" w:styleId="24">
    <w:name w:val="index 5"/>
    <w:basedOn w:val="1"/>
    <w:next w:val="1"/>
    <w:qFormat/>
    <w:uiPriority w:val="0"/>
    <w:pPr>
      <w:ind w:left="800" w:leftChars="800"/>
    </w:pPr>
  </w:style>
  <w:style w:type="paragraph" w:styleId="25">
    <w:name w:val="List Bullet"/>
    <w:basedOn w:val="1"/>
    <w:qFormat/>
    <w:uiPriority w:val="0"/>
    <w:pPr>
      <w:numPr>
        <w:ilvl w:val="0"/>
        <w:numId w:val="4"/>
      </w:numPr>
    </w:pPr>
  </w:style>
  <w:style w:type="paragraph" w:styleId="26">
    <w:name w:val="envelope address"/>
    <w:basedOn w:val="1"/>
    <w:qFormat/>
    <w:uiPriority w:val="0"/>
    <w:pPr>
      <w:snapToGrid w:val="0"/>
      <w:ind w:left="100" w:leftChars="1400"/>
    </w:pPr>
    <w:rPr>
      <w:rFonts w:ascii="Arial" w:hAnsi="Arial"/>
      <w:sz w:val="24"/>
    </w:rPr>
  </w:style>
  <w:style w:type="paragraph" w:styleId="27">
    <w:name w:val="Document Map"/>
    <w:basedOn w:val="1"/>
    <w:link w:val="669"/>
    <w:qFormat/>
    <w:uiPriority w:val="0"/>
    <w:pPr>
      <w:shd w:val="clear" w:color="auto" w:fill="000080"/>
    </w:pPr>
  </w:style>
  <w:style w:type="paragraph" w:styleId="28">
    <w:name w:val="toa heading"/>
    <w:basedOn w:val="1"/>
    <w:next w:val="1"/>
    <w:qFormat/>
    <w:uiPriority w:val="0"/>
    <w:pPr>
      <w:spacing w:before="120" w:beforeLines="0" w:beforeAutospacing="0"/>
    </w:pPr>
    <w:rPr>
      <w:rFonts w:ascii="Arial" w:hAnsi="Arial"/>
      <w:sz w:val="24"/>
    </w:rPr>
  </w:style>
  <w:style w:type="paragraph" w:styleId="29">
    <w:name w:val="annotation text"/>
    <w:basedOn w:val="1"/>
    <w:qFormat/>
    <w:uiPriority w:val="0"/>
    <w:pPr>
      <w:jc w:val="left"/>
    </w:pPr>
  </w:style>
  <w:style w:type="paragraph" w:styleId="30">
    <w:name w:val="index 6"/>
    <w:basedOn w:val="1"/>
    <w:next w:val="1"/>
    <w:qFormat/>
    <w:uiPriority w:val="0"/>
    <w:pPr>
      <w:ind w:left="1000" w:leftChars="1000"/>
    </w:pPr>
  </w:style>
  <w:style w:type="paragraph" w:styleId="31">
    <w:name w:val="Salutation"/>
    <w:basedOn w:val="1"/>
    <w:next w:val="1"/>
    <w:qFormat/>
    <w:uiPriority w:val="0"/>
  </w:style>
  <w:style w:type="paragraph" w:styleId="32">
    <w:name w:val="Body Text 3"/>
    <w:basedOn w:val="1"/>
    <w:qFormat/>
    <w:uiPriority w:val="0"/>
    <w:pPr>
      <w:spacing w:after="120" w:afterLines="0" w:afterAutospacing="0"/>
    </w:pPr>
    <w:rPr>
      <w:sz w:val="16"/>
    </w:rPr>
  </w:style>
  <w:style w:type="paragraph" w:styleId="33">
    <w:name w:val="Closing"/>
    <w:basedOn w:val="1"/>
    <w:link w:val="667"/>
    <w:qFormat/>
    <w:uiPriority w:val="0"/>
    <w:pPr>
      <w:ind w:left="100" w:leftChars="2100"/>
    </w:pPr>
  </w:style>
  <w:style w:type="paragraph" w:styleId="34">
    <w:name w:val="List Bullet 3"/>
    <w:basedOn w:val="1"/>
    <w:qFormat/>
    <w:uiPriority w:val="0"/>
    <w:pPr>
      <w:numPr>
        <w:ilvl w:val="0"/>
        <w:numId w:val="5"/>
      </w:numPr>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664"/>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245"/>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link w:val="2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link w:val="24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link w:val="672"/>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link w:val="67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9"/>
    <w:next w:val="29"/>
    <w:qFormat/>
    <w:uiPriority w:val="0"/>
    <w:rPr>
      <w:b/>
    </w:rPr>
  </w:style>
  <w:style w:type="paragraph" w:styleId="86">
    <w:name w:val="Body Text First Indent"/>
    <w:basedOn w:val="2"/>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0"/>
    <w:pPr>
      <w:widowControl w:val="0"/>
      <w:adjustRightInd w:val="0"/>
      <w:snapToGrid w:val="0"/>
      <w:spacing w:line="336" w:lineRule="auto"/>
      <w:ind w:firstLine="44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0"/>
    <w:pPr>
      <w:widowControl w:val="0"/>
      <w:adjustRightInd w:val="0"/>
      <w:snapToGrid w:val="0"/>
      <w:spacing w:line="336" w:lineRule="auto"/>
      <w:ind w:firstLine="44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0"/>
    <w:pPr>
      <w:widowControl w:val="0"/>
      <w:adjustRightInd w:val="0"/>
      <w:snapToGrid w:val="0"/>
      <w:spacing w:line="336" w:lineRule="auto"/>
      <w:ind w:firstLine="44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0"/>
    <w:pPr>
      <w:widowControl w:val="0"/>
      <w:adjustRightInd w:val="0"/>
      <w:snapToGrid w:val="0"/>
      <w:spacing w:line="336" w:lineRule="auto"/>
      <w:ind w:firstLine="44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0"/>
    <w:pPr>
      <w:widowControl w:val="0"/>
      <w:adjustRightInd w:val="0"/>
      <w:snapToGrid w:val="0"/>
      <w:spacing w:line="336" w:lineRule="auto"/>
      <w:ind w:firstLine="44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0"/>
    <w:pPr>
      <w:widowControl w:val="0"/>
      <w:adjustRightInd w:val="0"/>
      <w:snapToGrid w:val="0"/>
      <w:spacing w:line="336" w:lineRule="auto"/>
      <w:ind w:firstLine="44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0"/>
    <w:pPr>
      <w:widowControl w:val="0"/>
      <w:adjustRightInd w:val="0"/>
      <w:snapToGrid w:val="0"/>
      <w:spacing w:line="336" w:lineRule="auto"/>
      <w:ind w:firstLine="44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0"/>
    <w:pPr>
      <w:widowControl w:val="0"/>
      <w:adjustRightInd w:val="0"/>
      <w:snapToGrid w:val="0"/>
      <w:spacing w:line="336" w:lineRule="auto"/>
      <w:ind w:firstLine="44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0"/>
    <w:pPr>
      <w:widowControl w:val="0"/>
      <w:adjustRightInd w:val="0"/>
      <w:snapToGrid w:val="0"/>
      <w:spacing w:line="336" w:lineRule="auto"/>
      <w:ind w:firstLine="44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0"/>
    <w:pPr>
      <w:widowControl w:val="0"/>
      <w:adjustRightInd w:val="0"/>
      <w:snapToGrid w:val="0"/>
      <w:spacing w:line="336" w:lineRule="auto"/>
      <w:ind w:firstLine="44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0"/>
    <w:pPr>
      <w:widowControl w:val="0"/>
      <w:adjustRightInd w:val="0"/>
      <w:snapToGrid w:val="0"/>
      <w:spacing w:line="336" w:lineRule="auto"/>
      <w:ind w:firstLine="44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0"/>
    <w:pPr>
      <w:widowControl w:val="0"/>
      <w:adjustRightInd w:val="0"/>
      <w:snapToGrid w:val="0"/>
      <w:spacing w:line="336" w:lineRule="auto"/>
      <w:ind w:firstLine="44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0"/>
    <w:pPr>
      <w:widowControl w:val="0"/>
      <w:adjustRightInd w:val="0"/>
      <w:snapToGrid w:val="0"/>
      <w:spacing w:line="336" w:lineRule="auto"/>
      <w:ind w:firstLine="44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0"/>
    <w:pPr>
      <w:widowControl w:val="0"/>
      <w:adjustRightInd w:val="0"/>
      <w:snapToGrid w:val="0"/>
      <w:spacing w:line="336" w:lineRule="auto"/>
      <w:ind w:firstLine="44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0"/>
    <w:pPr>
      <w:widowControl w:val="0"/>
      <w:adjustRightInd w:val="0"/>
      <w:snapToGrid w:val="0"/>
      <w:spacing w:line="336" w:lineRule="auto"/>
      <w:ind w:firstLine="44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0"/>
    <w:pPr>
      <w:widowControl w:val="0"/>
      <w:adjustRightInd w:val="0"/>
      <w:snapToGrid w:val="0"/>
      <w:spacing w:line="336" w:lineRule="auto"/>
      <w:ind w:firstLine="44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0"/>
    <w:pPr>
      <w:widowControl w:val="0"/>
      <w:adjustRightInd w:val="0"/>
      <w:snapToGrid w:val="0"/>
      <w:spacing w:line="336" w:lineRule="auto"/>
      <w:ind w:firstLine="44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0"/>
    <w:pPr>
      <w:widowControl w:val="0"/>
      <w:adjustRightInd w:val="0"/>
      <w:snapToGrid w:val="0"/>
      <w:spacing w:line="336" w:lineRule="auto"/>
      <w:ind w:firstLine="44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0"/>
    <w:pPr>
      <w:widowControl w:val="0"/>
      <w:adjustRightInd w:val="0"/>
      <w:snapToGrid w:val="0"/>
      <w:spacing w:line="336" w:lineRule="auto"/>
      <w:ind w:firstLine="44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0"/>
    <w:pPr>
      <w:widowControl w:val="0"/>
      <w:adjustRightInd w:val="0"/>
      <w:snapToGrid w:val="0"/>
      <w:spacing w:line="336" w:lineRule="auto"/>
      <w:ind w:firstLine="44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0"/>
    <w:pPr>
      <w:widowControl w:val="0"/>
      <w:adjustRightInd w:val="0"/>
      <w:snapToGrid w:val="0"/>
      <w:spacing w:line="336" w:lineRule="auto"/>
      <w:ind w:firstLine="44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0"/>
    <w:pPr>
      <w:widowControl w:val="0"/>
      <w:adjustRightInd w:val="0"/>
      <w:snapToGrid w:val="0"/>
      <w:spacing w:line="336" w:lineRule="auto"/>
      <w:ind w:firstLine="44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0"/>
    <w:pPr>
      <w:widowControl w:val="0"/>
      <w:adjustRightInd w:val="0"/>
      <w:snapToGrid w:val="0"/>
      <w:spacing w:line="336" w:lineRule="auto"/>
      <w:ind w:firstLine="44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0"/>
    <w:pPr>
      <w:widowControl w:val="0"/>
      <w:adjustRightInd w:val="0"/>
      <w:snapToGrid w:val="0"/>
      <w:spacing w:line="336" w:lineRule="auto"/>
      <w:ind w:firstLine="44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0"/>
    <w:pPr>
      <w:widowControl w:val="0"/>
      <w:adjustRightInd w:val="0"/>
      <w:snapToGrid w:val="0"/>
      <w:spacing w:line="336" w:lineRule="auto"/>
      <w:ind w:firstLine="44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54A1" w:themeColor="accent1" w:themeShade="BF"/>
    </w:rPr>
    <w:tblPr>
      <w:tblBorders>
        <w:top w:val="single" w:color="4874CB" w:themeColor="accent1" w:sz="8" w:space="0"/>
        <w:bottom w:val="single" w:color="4874CB" w:themeColor="accent1" w:sz="8" w:space="0"/>
      </w:tblBorders>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semiHidden/>
    <w:unhideWhenUsed/>
    <w:qFormat/>
    <w:uiPriority w:val="60"/>
    <w:rPr>
      <w:color w:val="C65F10" w:themeColor="accent2" w:themeShade="BF"/>
    </w:rPr>
    <w:tblPr>
      <w:tblBorders>
        <w:top w:val="single" w:color="EE822F" w:themeColor="accent2" w:sz="8" w:space="0"/>
        <w:bottom w:val="single" w:color="EE822F" w:themeColor="accent2" w:sz="8" w:space="0"/>
      </w:tblBorders>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semiHidden/>
    <w:unhideWhenUsed/>
    <w:qFormat/>
    <w:uiPriority w:val="60"/>
    <w:rPr>
      <w:color w:val="B68C02" w:themeColor="accent3" w:themeShade="BF"/>
    </w:rPr>
    <w:tblPr>
      <w:tblBorders>
        <w:top w:val="single" w:color="F2BA02" w:themeColor="accent3" w:sz="8" w:space="0"/>
        <w:bottom w:val="single" w:color="F2BA02" w:themeColor="accent3" w:sz="8" w:space="0"/>
      </w:tblBorders>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semiHidden/>
    <w:unhideWhenUsed/>
    <w:qFormat/>
    <w:uiPriority w:val="60"/>
    <w:rPr>
      <w:color w:val="588E32" w:themeColor="accent4" w:themeShade="BF"/>
    </w:rPr>
    <w:tblPr>
      <w:tblBorders>
        <w:top w:val="single" w:color="75BD42" w:themeColor="accent4" w:sz="8" w:space="0"/>
        <w:bottom w:val="single" w:color="75BD42" w:themeColor="accent4" w:sz="8" w:space="0"/>
      </w:tblBorders>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semiHidden/>
    <w:unhideWhenUsed/>
    <w:qFormat/>
    <w:uiPriority w:val="60"/>
    <w:rPr>
      <w:color w:val="249087" w:themeColor="accent5" w:themeShade="BF"/>
    </w:rPr>
    <w:tblPr>
      <w:tblBorders>
        <w:top w:val="single" w:color="30C0B4" w:themeColor="accent5" w:sz="8" w:space="0"/>
        <w:bottom w:val="single" w:color="30C0B4" w:themeColor="accent5" w:sz="8" w:space="0"/>
      </w:tblBorders>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semiHidden/>
    <w:unhideWhenUsed/>
    <w:qFormat/>
    <w:uiPriority w:val="60"/>
    <w:rPr>
      <w:color w:val="C81D31" w:themeColor="accent6" w:themeShade="BF"/>
    </w:rPr>
    <w:tblPr>
      <w:tblBorders>
        <w:top w:val="single" w:color="E54C5E" w:themeColor="accent6" w:sz="8" w:space="0"/>
        <w:bottom w:val="single" w:color="E54C5E" w:themeColor="accent6" w:sz="8" w:space="0"/>
      </w:tblBorders>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qFormat/>
    <w:uiPriority w:val="22"/>
    <w:rPr>
      <w:rFonts w:ascii="楷体" w:hAnsi="楷体" w:eastAsia="楷体" w:cs="Times New Roman"/>
      <w:b/>
      <w:bCs/>
      <w:color w:val="000000" w:themeColor="text1"/>
      <w:szCs w:val="20"/>
      <w:u w:val="none"/>
      <w14:textFill>
        <w14:solidFill>
          <w14:schemeClr w14:val="tx1"/>
        </w14:solidFill>
      </w14:textFill>
    </w:rPr>
  </w:style>
  <w:style w:type="character" w:styleId="233">
    <w:name w:val="endnote reference"/>
    <w:basedOn w:val="231"/>
    <w:qFormat/>
    <w:uiPriority w:val="0"/>
    <w:rPr>
      <w:rFonts w:ascii="楷体" w:hAnsi="楷体" w:eastAsia="楷体" w:cs="微软雅黑"/>
      <w:color w:val="auto"/>
      <w:kern w:val="2"/>
      <w:sz w:val="28"/>
      <w:vertAlign w:val="superscript"/>
      <w:lang w:val="en-US" w:eastAsia="zh-CN" w:bidi="ar-SA"/>
    </w:rPr>
  </w:style>
  <w:style w:type="character" w:styleId="234">
    <w:name w:val="page number"/>
    <w:basedOn w:val="231"/>
    <w:qFormat/>
    <w:uiPriority w:val="0"/>
    <w:rPr>
      <w:rFonts w:ascii="楷体" w:hAnsi="楷体" w:eastAsia="楷体" w:cs="Times New Roman"/>
      <w:b/>
      <w:bCs/>
      <w:color w:val="auto"/>
      <w:kern w:val="2"/>
      <w:sz w:val="24"/>
      <w:szCs w:val="24"/>
      <w:lang w:val="en-US" w:eastAsia="zh-CN" w:bidi="ar-SA"/>
    </w:rPr>
  </w:style>
  <w:style w:type="character" w:styleId="235">
    <w:name w:val="FollowedHyperlink"/>
    <w:basedOn w:val="231"/>
    <w:qFormat/>
    <w:uiPriority w:val="0"/>
    <w:rPr>
      <w:rFonts w:ascii="楷体" w:hAnsi="楷体" w:eastAsia="楷体" w:cs="Times New Roman"/>
      <w:color w:val="800080"/>
      <w:szCs w:val="20"/>
      <w:u w:val="single"/>
    </w:rPr>
  </w:style>
  <w:style w:type="character" w:styleId="236">
    <w:name w:val="Emphasis"/>
    <w:basedOn w:val="231"/>
    <w:qFormat/>
    <w:uiPriority w:val="20"/>
    <w:rPr>
      <w:rFonts w:ascii="楷体" w:hAnsi="楷体" w:eastAsia="楷体" w:cs="Times New Roman"/>
      <w:b/>
      <w:bCs/>
      <w:color w:val="000000" w:themeColor="text1"/>
      <w:sz w:val="28"/>
      <w:szCs w:val="28"/>
      <w14:textFill>
        <w14:solidFill>
          <w14:schemeClr w14:val="tx1"/>
        </w14:solidFill>
      </w14:textFill>
    </w:rPr>
  </w:style>
  <w:style w:type="character" w:styleId="237">
    <w:name w:val="Hyperlink"/>
    <w:basedOn w:val="231"/>
    <w:qFormat/>
    <w:uiPriority w:val="0"/>
    <w:rPr>
      <w:rFonts w:ascii="楷体" w:hAnsi="楷体" w:eastAsia="楷体" w:cs="Times New Roman"/>
      <w:color w:val="0000FF"/>
      <w:szCs w:val="20"/>
      <w:u w:val="single"/>
    </w:rPr>
  </w:style>
  <w:style w:type="character" w:styleId="238">
    <w:name w:val="annotation reference"/>
    <w:basedOn w:val="231"/>
    <w:qFormat/>
    <w:uiPriority w:val="0"/>
    <w:rPr>
      <w:rFonts w:ascii="楷体" w:hAnsi="楷体" w:eastAsia="楷体" w:cs="Times New Roman"/>
      <w:color w:val="auto"/>
      <w:kern w:val="2"/>
      <w:sz w:val="21"/>
      <w:szCs w:val="21"/>
      <w:lang w:val="en-US" w:eastAsia="zh-CN" w:bidi="ar-SA"/>
    </w:rPr>
  </w:style>
  <w:style w:type="character" w:styleId="239">
    <w:name w:val="footnote reference"/>
    <w:basedOn w:val="231"/>
    <w:qFormat/>
    <w:uiPriority w:val="0"/>
    <w:rPr>
      <w:rFonts w:ascii="楷体" w:hAnsi="楷体" w:eastAsia="楷体" w:cs="微软雅黑"/>
      <w:color w:val="auto"/>
      <w:kern w:val="2"/>
      <w:sz w:val="28"/>
      <w:vertAlign w:val="superscript"/>
      <w:lang w:val="en-US" w:eastAsia="zh-CN" w:bidi="ar-SA"/>
    </w:rPr>
  </w:style>
  <w:style w:type="character" w:customStyle="1" w:styleId="240">
    <w:name w:val="页眉 Char"/>
    <w:link w:val="57"/>
    <w:qFormat/>
    <w:uiPriority w:val="0"/>
    <w:rPr>
      <w:sz w:val="18"/>
    </w:rPr>
  </w:style>
  <w:style w:type="character" w:customStyle="1" w:styleId="241">
    <w:name w:val="副标题 字符"/>
    <w:link w:val="64"/>
    <w:qFormat/>
    <w:uiPriority w:val="0"/>
    <w:rPr>
      <w:rFonts w:ascii="Arial" w:hAnsi="Arial"/>
      <w:b/>
      <w:kern w:val="28"/>
      <w:sz w:val="32"/>
    </w:rPr>
  </w:style>
  <w:style w:type="character" w:customStyle="1" w:styleId="242">
    <w:name w:val="标题 4 字符"/>
    <w:link w:val="7"/>
    <w:qFormat/>
    <w:uiPriority w:val="9"/>
    <w:rPr>
      <w:rFonts w:ascii="Arial" w:hAnsi="Arial" w:eastAsia="黑体"/>
      <w:b/>
      <w:sz w:val="28"/>
    </w:rPr>
  </w:style>
  <w:style w:type="paragraph" w:customStyle="1" w:styleId="243">
    <w:name w:val="目录标题"/>
    <w:link w:val="244"/>
    <w:qFormat/>
    <w:uiPriority w:val="0"/>
    <w:pPr>
      <w:adjustRightInd w:val="0"/>
      <w:snapToGrid w:val="0"/>
      <w:jc w:val="center"/>
    </w:pPr>
    <w:rPr>
      <w:rFonts w:ascii="楷体" w:hAnsi="楷体" w:eastAsia="楷体" w:cs="Times New Roman"/>
      <w:sz w:val="30"/>
      <w:szCs w:val="30"/>
      <w:lang w:val="en-US" w:eastAsia="zh-CN" w:bidi="ar-SA"/>
    </w:rPr>
  </w:style>
  <w:style w:type="character" w:customStyle="1" w:styleId="244">
    <w:name w:val="目录标题 Char"/>
    <w:link w:val="243"/>
    <w:qFormat/>
    <w:uiPriority w:val="0"/>
    <w:rPr>
      <w:rFonts w:ascii="楷体" w:hAnsi="楷体" w:eastAsia="楷体" w:cs="Times New Roman"/>
      <w:sz w:val="30"/>
      <w:szCs w:val="30"/>
      <w:lang w:val="en-US" w:eastAsia="zh-CN" w:bidi="ar-SA"/>
    </w:rPr>
  </w:style>
  <w:style w:type="character" w:customStyle="1" w:styleId="245">
    <w:name w:val="日期 字符"/>
    <w:link w:val="50"/>
    <w:qFormat/>
    <w:uiPriority w:val="0"/>
  </w:style>
  <w:style w:type="table" w:customStyle="1" w:styleId="246">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7">
    <w:name w:val="清单表 1 浅色 - 着色 11"/>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48">
    <w:name w:val="清单表 1 浅色 - 着色 21"/>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49">
    <w:name w:val="清单表 1 浅色 - 着色 31"/>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50">
    <w:name w:val="清单表 1 浅色 - 着色 41"/>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51">
    <w:name w:val="清单表 1 浅色 - 着色 51"/>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52">
    <w:name w:val="清单表 1 浅色 - 着色 61"/>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53">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清单表 2 - 着色 11"/>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55">
    <w:name w:val="清单表 2 - 着色 21"/>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56">
    <w:name w:val="清单表 2 - 着色 31"/>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57">
    <w:name w:val="清单表 2 - 着色 41"/>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58">
    <w:name w:val="清单表 2 - 着色 51"/>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59">
    <w:name w:val="清单表 2 - 着色 61"/>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60">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1">
    <w:name w:val="清单表 3 - 着色 11"/>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262">
    <w:name w:val="清单表 3 - 着色 21"/>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263">
    <w:name w:val="清单表 3 - 着色 31"/>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264">
    <w:name w:val="清单表 3 - 着色 41"/>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265">
    <w:name w:val="清单表 3 - 着色 51"/>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266">
    <w:name w:val="清单表 3 - 着色 61"/>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267">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8">
    <w:name w:val="清单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69">
    <w:name w:val="清单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70">
    <w:name w:val="清单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71">
    <w:name w:val="清单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72">
    <w:name w:val="清单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73">
    <w:name w:val="清单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74">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5">
    <w:name w:val="清单表 5 深色 - 着色 11"/>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6">
    <w:name w:val="清单表 5 深色 - 着色 21"/>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7">
    <w:name w:val="清单表 5 深色 - 着色 31"/>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8">
    <w:name w:val="清单表 5 深色 - 着色 41"/>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79">
    <w:name w:val="清单表 5 深色 - 着色 51"/>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80">
    <w:name w:val="清单表 5 深色 - 着色 61"/>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81">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2">
    <w:name w:val="清单表 6 彩色 - 着色 11"/>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83">
    <w:name w:val="清单表 6 彩色 - 着色 21"/>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84">
    <w:name w:val="清单表 6 彩色 - 着色 31"/>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5">
    <w:name w:val="清单表 6 彩色 - 着色 41"/>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86">
    <w:name w:val="清单表 6 彩色 - 着色 51"/>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87">
    <w:name w:val="清单表 6 彩色 - 着色 61"/>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88">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89">
    <w:name w:val="清单表 7 彩色 - 着色 11"/>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0">
    <w:name w:val="清单表 7 彩色 - 着色 21"/>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1">
    <w:name w:val="清单表 7 彩色 - 着色 31"/>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2">
    <w:name w:val="清单表 7 彩色 - 着色 41"/>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3">
    <w:name w:val="清单表 7 彩色 - 着色 51"/>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4">
    <w:name w:val="清单表 7 彩色 - 着色 61"/>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95">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96">
    <w:name w:val="网格表 1 浅色 - 着色 11"/>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297">
    <w:name w:val="网格表 1 浅色 - 着色 21"/>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298">
    <w:name w:val="网格表 1 浅色 - 着色 31"/>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299">
    <w:name w:val="网格表 1 浅色 - 着色 41"/>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00">
    <w:name w:val="网格表 1 浅色 - 着色 51"/>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01">
    <w:name w:val="网格表 1 浅色 - 着色 61"/>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02">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3">
    <w:name w:val="网格表 2 - 着色 11"/>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04">
    <w:name w:val="网格表 2 - 着色 21"/>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05">
    <w:name w:val="网格表 2 - 着色 31"/>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06">
    <w:name w:val="网格表 2 - 着色 41"/>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07">
    <w:name w:val="网格表 2 - 着色 51"/>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08">
    <w:name w:val="网格表 2 - 着色 61"/>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09">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10">
    <w:name w:val="网格表 3 - 着色 11"/>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11">
    <w:name w:val="网格表 3 - 着色 21"/>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12">
    <w:name w:val="网格表 3 - 着色 31"/>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13">
    <w:name w:val="网格表 3 - 着色 41"/>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14">
    <w:name w:val="网格表 3 - 着色 51"/>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15">
    <w:name w:val="网格表 3 - 着色 61"/>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16">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7">
    <w:name w:val="网格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18">
    <w:name w:val="网格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19">
    <w:name w:val="网格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20">
    <w:name w:val="网格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21">
    <w:name w:val="网格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22">
    <w:name w:val="网格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23">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24">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325">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326">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327">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328">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329">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330">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1">
    <w:name w:val="网格表 6 彩色 - 着色 11"/>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32">
    <w:name w:val="网格表 6 彩色 - 着色 21"/>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33">
    <w:name w:val="网格表 6 彩色 - 着色 31"/>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34">
    <w:name w:val="网格表 6 彩色 - 着色 41"/>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35">
    <w:name w:val="网格表 6 彩色 - 着色 51"/>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36">
    <w:name w:val="网格表 6 彩色 - 着色 61"/>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37">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8">
    <w:name w:val="网格表 7 彩色 - 着色 11"/>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39">
    <w:name w:val="网格表 7 彩色 - 着色 21"/>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40">
    <w:name w:val="网格表 7 彩色 - 着色 31"/>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41">
    <w:name w:val="网格表 7 彩色 - 着色 41"/>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42">
    <w:name w:val="网格表 7 彩色 - 着色 51"/>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43">
    <w:name w:val="网格表 7 彩色 - 着色 61"/>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44">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4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4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4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50">
    <w:name w:val="正文文本 字符"/>
    <w:link w:val="2"/>
    <w:qFormat/>
    <w:uiPriority w:val="0"/>
  </w:style>
  <w:style w:type="table" w:customStyle="1" w:styleId="351">
    <w:name w:val="清单表 1 浅色2"/>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2">
    <w:name w:val="清单表 1 浅色 - 着色 12"/>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53">
    <w:name w:val="清单表 1 浅色 - 着色 22"/>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54">
    <w:name w:val="清单表 1 浅色 - 着色 32"/>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5">
    <w:name w:val="清单表 1 浅色 - 着色 42"/>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6">
    <w:name w:val="清单表 1 浅色 - 着色 52"/>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7">
    <w:name w:val="清单表 1 浅色 - 着色 62"/>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58">
    <w:name w:val="清单表 2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9">
    <w:name w:val="清单表 2 - 着色 12"/>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60">
    <w:name w:val="清单表 2 - 着色 22"/>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61">
    <w:name w:val="清单表 2 - 着色 32"/>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2">
    <w:name w:val="清单表 2 - 着色 42"/>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3">
    <w:name w:val="清单表 2 - 着色 52"/>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64">
    <w:name w:val="清单表 2 - 着色 62"/>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5">
    <w:name w:val="清单表 32"/>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66">
    <w:name w:val="清单表 3 - 着色 12"/>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367">
    <w:name w:val="清单表 3 - 着色 22"/>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368">
    <w:name w:val="清单表 3 - 着色 32"/>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369">
    <w:name w:val="清单表 3 - 着色 42"/>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370">
    <w:name w:val="清单表 3 - 着色 52"/>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371">
    <w:name w:val="清单表 3 - 着色 62"/>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372">
    <w:name w:val="清单表 42"/>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3">
    <w:name w:val="清单表 4 - 着色 12"/>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74">
    <w:name w:val="清单表 4 - 着色 2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75">
    <w:name w:val="清单表 4 - 着色 32"/>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76">
    <w:name w:val="清单表 4 - 着色 42"/>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77">
    <w:name w:val="清单表 4 - 着色 52"/>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78">
    <w:name w:val="清单表 4 - 着色 62"/>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79">
    <w:name w:val="清单表 5 深色2"/>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0">
    <w:name w:val="清单表 5 深色 - 着色 12"/>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1">
    <w:name w:val="清单表 5 深色 - 着色 22"/>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2">
    <w:name w:val="清单表 5 深色 - 着色 32"/>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3">
    <w:name w:val="清单表 5 深色 - 着色 42"/>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4">
    <w:name w:val="清单表 5 深色 - 着色 52"/>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5">
    <w:name w:val="清单表 5 深色 - 着色 62"/>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86">
    <w:name w:val="清单表 6 彩色2"/>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7">
    <w:name w:val="清单表 6 彩色 - 着色 12"/>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88">
    <w:name w:val="清单表 6 彩色 - 着色 22"/>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89">
    <w:name w:val="清单表 6 彩色 - 着色 32"/>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90">
    <w:name w:val="清单表 6 彩色 - 着色 42"/>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91">
    <w:name w:val="清单表 6 彩色 - 着色 52"/>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92">
    <w:name w:val="清单表 6 彩色 - 着色 62"/>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93">
    <w:name w:val="清单表 7 彩色2"/>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4">
    <w:name w:val="清单表 7 彩色 - 着色 12"/>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5">
    <w:name w:val="清单表 7 彩色 - 着色 22"/>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6">
    <w:name w:val="清单表 7 彩色 - 着色 32"/>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7">
    <w:name w:val="清单表 7 彩色 - 着色 42"/>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8">
    <w:name w:val="清单表 7 彩色 - 着色 52"/>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9">
    <w:name w:val="清单表 7 彩色 - 着色 62"/>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00">
    <w:name w:val="网格表 1 浅色2"/>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01">
    <w:name w:val="网格表 1 浅色 - 着色 12"/>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402">
    <w:name w:val="网格表 1 浅色 - 着色 22"/>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403">
    <w:name w:val="网格表 1 浅色 - 着色 32"/>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404">
    <w:name w:val="网格表 1 浅色 - 着色 42"/>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405">
    <w:name w:val="网格表 1 浅色 - 着色 52"/>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406">
    <w:name w:val="网格表 1 浅色 - 着色 62"/>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407">
    <w:name w:val="网格表 2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8">
    <w:name w:val="网格表 2 - 着色 12"/>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09">
    <w:name w:val="网格表 2 - 着色 22"/>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0">
    <w:name w:val="网格表 2 - 着色 32"/>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1">
    <w:name w:val="网格表 2 - 着色 42"/>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2">
    <w:name w:val="网格表 2 - 着色 52"/>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3">
    <w:name w:val="网格表 2 - 着色 62"/>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4">
    <w:name w:val="网格表 32"/>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15">
    <w:name w:val="网格表 3 - 着色 12"/>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16">
    <w:name w:val="网格表 3 - 着色 22"/>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17">
    <w:name w:val="网格表 3 - 着色 32"/>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18">
    <w:name w:val="网格表 3 - 着色 42"/>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19">
    <w:name w:val="网格表 3 - 着色 52"/>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20">
    <w:name w:val="网格表 3 - 着色 62"/>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21">
    <w:name w:val="网格表 42"/>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2">
    <w:name w:val="网格表 4 - 着色 12"/>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23">
    <w:name w:val="网格表 4 - 着色 2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24">
    <w:name w:val="网格表 4 - 着色 32"/>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5">
    <w:name w:val="网格表 4 - 着色 42"/>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6">
    <w:name w:val="网格表 4 - 着色 52"/>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7">
    <w:name w:val="网格表 4 - 着色 62"/>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28">
    <w:name w:val="网格表 5 深色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29">
    <w:name w:val="网格表 5 深色 - 着色 1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30">
    <w:name w:val="网格表 5 深色 - 着色 2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31">
    <w:name w:val="网格表 5 深色 - 着色 3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32">
    <w:name w:val="网格表 5 深色 - 着色 4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33">
    <w:name w:val="网格表 5 深色 - 着色 5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34">
    <w:name w:val="网格表 5 深色 - 着色 6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35">
    <w:name w:val="网格表 6 彩色2"/>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6">
    <w:name w:val="网格表 6 彩色 - 着色 12"/>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37">
    <w:name w:val="网格表 6 彩色 - 着色 22"/>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38">
    <w:name w:val="网格表 6 彩色 - 着色 32"/>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39">
    <w:name w:val="网格表 6 彩色 - 着色 42"/>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40">
    <w:name w:val="网格表 6 彩色 - 着色 52"/>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41">
    <w:name w:val="网格表 6 彩色 - 着色 62"/>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42">
    <w:name w:val="网格表 7 彩色2"/>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43">
    <w:name w:val="网格表 7 彩色 - 着色 12"/>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44">
    <w:name w:val="网格表 7 彩色 - 着色 22"/>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45">
    <w:name w:val="网格表 7 彩色 - 着色 32"/>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46">
    <w:name w:val="网格表 7 彩色 - 着色 42"/>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47">
    <w:name w:val="网格表 7 彩色 - 着色 52"/>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48">
    <w:name w:val="网格表 7 彩色 - 着色 62"/>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49">
    <w:name w:val="网格型浅色2"/>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50">
    <w:name w:val="无格式表格 12"/>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51">
    <w:name w:val="无格式表格 2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52">
    <w:name w:val="无格式表格 32"/>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53">
    <w:name w:val="无格式表格 42"/>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54">
    <w:name w:val="无格式表格 52"/>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5">
    <w:name w:val="清单表 1 浅色3"/>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6">
    <w:name w:val="清单表 1 浅色 - 着色 13"/>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57">
    <w:name w:val="清单表 1 浅色 - 着色 23"/>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58">
    <w:name w:val="清单表 1 浅色 - 着色 33"/>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59">
    <w:name w:val="清单表 1 浅色 - 着色 43"/>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0">
    <w:name w:val="清单表 1 浅色 - 着色 53"/>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1">
    <w:name w:val="清单表 1 浅色 - 着色 63"/>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2">
    <w:name w:val="清单表 23"/>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3">
    <w:name w:val="清单表 2 - 着色 13"/>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64">
    <w:name w:val="清单表 2 - 着色 23"/>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65">
    <w:name w:val="清单表 2 - 着色 33"/>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66">
    <w:name w:val="清单表 2 - 着色 43"/>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67">
    <w:name w:val="清单表 2 - 着色 53"/>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68">
    <w:name w:val="清单表 2 - 着色 63"/>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69">
    <w:name w:val="清单表 3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70">
    <w:name w:val="清单表 3 - 着色 13"/>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471">
    <w:name w:val="清单表 3 - 着色 23"/>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472">
    <w:name w:val="清单表 3 - 着色 33"/>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473">
    <w:name w:val="清单表 3 - 着色 43"/>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474">
    <w:name w:val="清单表 3 - 着色 53"/>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475">
    <w:name w:val="清单表 3 - 着色 63"/>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476">
    <w:name w:val="清单表 43"/>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77">
    <w:name w:val="清单表 4 - 着色 13"/>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78">
    <w:name w:val="清单表 4 - 着色 23"/>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79">
    <w:name w:val="清单表 4 - 着色 3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80">
    <w:name w:val="清单表 4 - 着色 43"/>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81">
    <w:name w:val="清单表 4 - 着色 53"/>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82">
    <w:name w:val="清单表 4 - 着色 63"/>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83">
    <w:name w:val="清单表 5 深色3"/>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4">
    <w:name w:val="清单表 5 深色 - 着色 13"/>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5">
    <w:name w:val="清单表 5 深色 - 着色 23"/>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6">
    <w:name w:val="清单表 5 深色 - 着色 33"/>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7">
    <w:name w:val="清单表 5 深色 - 着色 43"/>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8">
    <w:name w:val="清单表 5 深色 - 着色 53"/>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89">
    <w:name w:val="清单表 5 深色 - 着色 63"/>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90">
    <w:name w:val="清单表 6 彩色3"/>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91">
    <w:name w:val="清单表 6 彩色 - 着色 13"/>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92">
    <w:name w:val="清单表 6 彩色 - 着色 23"/>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93">
    <w:name w:val="清单表 6 彩色 - 着色 33"/>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94">
    <w:name w:val="清单表 6 彩色 - 着色 43"/>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95">
    <w:name w:val="清单表 6 彩色 - 着色 53"/>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96">
    <w:name w:val="清单表 6 彩色 - 着色 63"/>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97">
    <w:name w:val="清单表 7 彩色3"/>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98">
    <w:name w:val="清单表 7 彩色 - 着色 13"/>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99">
    <w:name w:val="清单表 7 彩色 - 着色 23"/>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0">
    <w:name w:val="清单表 7 彩色 - 着色 33"/>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1">
    <w:name w:val="清单表 7 彩色 - 着色 43"/>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2">
    <w:name w:val="清单表 7 彩色 - 着色 53"/>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3">
    <w:name w:val="清单表 7 彩色 - 着色 63"/>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04">
    <w:name w:val="网格表 1 浅色3"/>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05">
    <w:name w:val="网格表 1 浅色 - 着色 13"/>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506">
    <w:name w:val="网格表 1 浅色 - 着色 23"/>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507">
    <w:name w:val="网格表 1 浅色 - 着色 33"/>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508">
    <w:name w:val="网格表 1 浅色 - 着色 43"/>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509">
    <w:name w:val="网格表 1 浅色 - 着色 53"/>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510">
    <w:name w:val="网格表 1 浅色 - 着色 63"/>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511">
    <w:name w:val="网格表 23"/>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12">
    <w:name w:val="网格表 2 - 着色 13"/>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13">
    <w:name w:val="网格表 2 - 着色 23"/>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14">
    <w:name w:val="网格表 2 - 着色 33"/>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15">
    <w:name w:val="网格表 2 - 着色 43"/>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16">
    <w:name w:val="网格表 2 - 着色 53"/>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17">
    <w:name w:val="网格表 2 - 着色 63"/>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18">
    <w:name w:val="网格表 3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19">
    <w:name w:val="网格表 3 - 着色 13"/>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20">
    <w:name w:val="网格表 3 - 着色 23"/>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21">
    <w:name w:val="网格表 3 - 着色 33"/>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22">
    <w:name w:val="网格表 3 - 着色 43"/>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23">
    <w:name w:val="网格表 3 - 着色 53"/>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24">
    <w:name w:val="网格表 3 - 着色 63"/>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25">
    <w:name w:val="网格表 43"/>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26">
    <w:name w:val="网格表 4 - 着色 13"/>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27">
    <w:name w:val="网格表 4 - 着色 23"/>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28">
    <w:name w:val="网格表 4 - 着色 3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29">
    <w:name w:val="网格表 4 - 着色 43"/>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30">
    <w:name w:val="网格表 4 - 着色 53"/>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31">
    <w:name w:val="网格表 4 - 着色 63"/>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32">
    <w:name w:val="网格表 5 深色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533">
    <w:name w:val="网格表 5 深色 - 着色 1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534">
    <w:name w:val="网格表 5 深色 - 着色 2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535">
    <w:name w:val="网格表 5 深色 - 着色 3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536">
    <w:name w:val="网格表 5 深色 - 着色 4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537">
    <w:name w:val="网格表 5 深色 - 着色 5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538">
    <w:name w:val="网格表 5 深色 - 着色 6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539">
    <w:name w:val="网格表 6 彩色3"/>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40">
    <w:name w:val="网格表 6 彩色 - 着色 13"/>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41">
    <w:name w:val="网格表 6 彩色 - 着色 23"/>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42">
    <w:name w:val="网格表 6 彩色 - 着色 33"/>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43">
    <w:name w:val="网格表 6 彩色 - 着色 43"/>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44">
    <w:name w:val="网格表 6 彩色 - 着色 53"/>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45">
    <w:name w:val="网格表 6 彩色 - 着色 63"/>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46">
    <w:name w:val="网格表 7 彩色3"/>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47">
    <w:name w:val="网格表 7 彩色 - 着色 13"/>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48">
    <w:name w:val="网格表 7 彩色 - 着色 23"/>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49">
    <w:name w:val="网格表 7 彩色 - 着色 33"/>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50">
    <w:name w:val="网格表 7 彩色 - 着色 43"/>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51">
    <w:name w:val="网格表 7 彩色 - 着色 53"/>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52">
    <w:name w:val="网格表 7 彩色 - 着色 63"/>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53">
    <w:name w:val="网格型浅色3"/>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54">
    <w:name w:val="无格式表格 13"/>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55">
    <w:name w:val="无格式表格 23"/>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56">
    <w:name w:val="无格式表格 3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57">
    <w:name w:val="无格式表格 43"/>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58">
    <w:name w:val="无格式表格 53"/>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59">
    <w:name w:val="标题 1 字符"/>
    <w:link w:val="4"/>
    <w:qFormat/>
    <w:uiPriority w:val="9"/>
    <w:rPr>
      <w:b/>
      <w:kern w:val="44"/>
      <w:sz w:val="44"/>
    </w:rPr>
  </w:style>
  <w:style w:type="table" w:customStyle="1" w:styleId="560">
    <w:name w:val="清单表 1 浅色4"/>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1">
    <w:name w:val="清单表 1 浅色 - 着色 14"/>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2">
    <w:name w:val="清单表 1 浅色 - 着色 24"/>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63">
    <w:name w:val="清单表 1 浅色 - 着色 34"/>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64">
    <w:name w:val="清单表 1 浅色 - 着色 44"/>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65">
    <w:name w:val="清单表 1 浅色 - 着色 54"/>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66">
    <w:name w:val="清单表 1 浅色 - 着色 64"/>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67">
    <w:name w:val="清单表 24"/>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8">
    <w:name w:val="清单表 2 - 着色 14"/>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9">
    <w:name w:val="清单表 2 - 着色 24"/>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70">
    <w:name w:val="清单表 2 - 着色 34"/>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71">
    <w:name w:val="清单表 2 - 着色 44"/>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72">
    <w:name w:val="清单表 2 - 着色 54"/>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73">
    <w:name w:val="清单表 2 - 着色 64"/>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74">
    <w:name w:val="清单表 34"/>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575">
    <w:name w:val="清单表 3 - 着色 14"/>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576">
    <w:name w:val="清单表 3 - 着色 24"/>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577">
    <w:name w:val="清单表 3 - 着色 34"/>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578">
    <w:name w:val="清单表 3 - 着色 44"/>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579">
    <w:name w:val="清单表 3 - 着色 54"/>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580">
    <w:name w:val="清单表 3 - 着色 64"/>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581">
    <w:name w:val="清单表 4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82">
    <w:name w:val="清单表 4 - 着色 14"/>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83">
    <w:name w:val="清单表 4 - 着色 24"/>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84">
    <w:name w:val="清单表 4 - 着色 34"/>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85">
    <w:name w:val="清单表 4 - 着色 4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86">
    <w:name w:val="清单表 4 - 着色 54"/>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87">
    <w:name w:val="清单表 4 - 着色 64"/>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88">
    <w:name w:val="清单表 5 深色4"/>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89">
    <w:name w:val="清单表 5 深色 - 着色 14"/>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0">
    <w:name w:val="清单表 5 深色 - 着色 24"/>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1">
    <w:name w:val="清单表 5 深色 - 着色 34"/>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2">
    <w:name w:val="清单表 5 深色 - 着色 44"/>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3">
    <w:name w:val="清单表 5 深色 - 着色 54"/>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4">
    <w:name w:val="清单表 5 深色 - 着色 64"/>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95">
    <w:name w:val="清单表 6 彩色4"/>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96">
    <w:name w:val="清单表 6 彩色 - 着色 14"/>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97">
    <w:name w:val="清单表 6 彩色 - 着色 24"/>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98">
    <w:name w:val="清单表 6 彩色 - 着色 34"/>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99">
    <w:name w:val="清单表 6 彩色 - 着色 44"/>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00">
    <w:name w:val="清单表 6 彩色 - 着色 54"/>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01">
    <w:name w:val="清单表 6 彩色 - 着色 64"/>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02">
    <w:name w:val="清单表 7 彩色4"/>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3">
    <w:name w:val="清单表 7 彩色 - 着色 14"/>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4">
    <w:name w:val="清单表 7 彩色 - 着色 24"/>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5">
    <w:name w:val="清单表 7 彩色 - 着色 34"/>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6">
    <w:name w:val="清单表 7 彩色 - 着色 44"/>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7">
    <w:name w:val="清单表 7 彩色 - 着色 54"/>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8">
    <w:name w:val="清单表 7 彩色 - 着色 64"/>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09">
    <w:name w:val="网格表 1 浅色4"/>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610">
    <w:name w:val="网格表 1 浅色 - 着色 14"/>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611">
    <w:name w:val="网格表 1 浅色 - 着色 24"/>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612">
    <w:name w:val="网格表 1 浅色 - 着色 34"/>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613">
    <w:name w:val="网格表 1 浅色 - 着色 44"/>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614">
    <w:name w:val="网格表 1 浅色 - 着色 54"/>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615">
    <w:name w:val="网格表 1 浅色 - 着色 64"/>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616">
    <w:name w:val="网格表 24"/>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17">
    <w:name w:val="网格表 2 - 着色 14"/>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18">
    <w:name w:val="网格表 2 - 着色 24"/>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19">
    <w:name w:val="网格表 2 - 着色 34"/>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20">
    <w:name w:val="网格表 2 - 着色 44"/>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21">
    <w:name w:val="网格表 2 - 着色 54"/>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22">
    <w:name w:val="网格表 2 - 着色 64"/>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23">
    <w:name w:val="网格表 34"/>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24">
    <w:name w:val="网格表 3 - 着色 14"/>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25">
    <w:name w:val="网格表 3 - 着色 24"/>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26">
    <w:name w:val="网格表 3 - 着色 34"/>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27">
    <w:name w:val="网格表 3 - 着色 44"/>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28">
    <w:name w:val="网格表 3 - 着色 54"/>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29">
    <w:name w:val="网格表 3 - 着色 64"/>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30">
    <w:name w:val="网格表 4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31">
    <w:name w:val="网格表 4 - 着色 14"/>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32">
    <w:name w:val="网格表 4 - 着色 24"/>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33">
    <w:name w:val="网格表 4 - 着色 34"/>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34">
    <w:name w:val="网格表 4 - 着色 4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35">
    <w:name w:val="网格表 4 - 着色 54"/>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36">
    <w:name w:val="网格表 4 - 着色 64"/>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37">
    <w:name w:val="网格表 5 深色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638">
    <w:name w:val="网格表 5 深色 - 着色 1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639">
    <w:name w:val="网格表 5 深色 - 着色 2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640">
    <w:name w:val="网格表 5 深色 - 着色 3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641">
    <w:name w:val="网格表 5 深色 - 着色 4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642">
    <w:name w:val="网格表 5 深色 - 着色 5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643">
    <w:name w:val="网格表 5 深色 - 着色 6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644">
    <w:name w:val="网格表 6 彩色4"/>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45">
    <w:name w:val="网格表 6 彩色 - 着色 14"/>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46">
    <w:name w:val="网格表 6 彩色 - 着色 24"/>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47">
    <w:name w:val="网格表 6 彩色 - 着色 34"/>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48">
    <w:name w:val="网格表 6 彩色 - 着色 44"/>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49">
    <w:name w:val="网格表 6 彩色 - 着色 54"/>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50">
    <w:name w:val="网格表 6 彩色 - 着色 64"/>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51">
    <w:name w:val="网格表 7 彩色4"/>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52">
    <w:name w:val="网格表 7 彩色 - 着色 14"/>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53">
    <w:name w:val="网格表 7 彩色 - 着色 24"/>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54">
    <w:name w:val="网格表 7 彩色 - 着色 34"/>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55">
    <w:name w:val="网格表 7 彩色 - 着色 44"/>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56">
    <w:name w:val="网格表 7 彩色 - 着色 54"/>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57">
    <w:name w:val="网格表 7 彩色 - 着色 64"/>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58">
    <w:name w:val="网格型浅色4"/>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59">
    <w:name w:val="无格式表格 14"/>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60">
    <w:name w:val="无格式表格 24"/>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61">
    <w:name w:val="无格式表格 34"/>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62">
    <w:name w:val="无格式表格 4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63">
    <w:name w:val="无格式表格 54"/>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664">
    <w:name w:val="纯文本 字符"/>
    <w:link w:val="45"/>
    <w:qFormat/>
    <w:uiPriority w:val="0"/>
    <w:rPr>
      <w:rFonts w:ascii="宋体" w:hAnsi="Courier New"/>
    </w:rPr>
  </w:style>
  <w:style w:type="character" w:customStyle="1" w:styleId="665">
    <w:name w:val="电子邮件签名 字符"/>
    <w:link w:val="20"/>
    <w:qFormat/>
    <w:uiPriority w:val="0"/>
  </w:style>
  <w:style w:type="character" w:customStyle="1" w:styleId="666">
    <w:name w:val="宏文本 字符"/>
    <w:link w:val="3"/>
    <w:qFormat/>
    <w:uiPriority w:val="0"/>
    <w:rPr>
      <w:rFonts w:ascii="Courier New" w:hAnsi="Courier New" w:eastAsiaTheme="minorEastAsia" w:cstheme="minorBidi"/>
      <w:kern w:val="2"/>
      <w:sz w:val="24"/>
      <w:lang w:val="en-US" w:eastAsia="zh-CN"/>
    </w:rPr>
  </w:style>
  <w:style w:type="character" w:customStyle="1" w:styleId="667">
    <w:name w:val="结束语 字符"/>
    <w:link w:val="33"/>
    <w:qFormat/>
    <w:uiPriority w:val="0"/>
  </w:style>
  <w:style w:type="paragraph" w:customStyle="1" w:styleId="668">
    <w:name w:val="书目1"/>
    <w:basedOn w:val="1"/>
    <w:next w:val="1"/>
    <w:semiHidden/>
    <w:unhideWhenUsed/>
    <w:qFormat/>
    <w:uiPriority w:val="37"/>
  </w:style>
  <w:style w:type="character" w:customStyle="1" w:styleId="669">
    <w:name w:val="文档结构图 字符"/>
    <w:link w:val="27"/>
    <w:qFormat/>
    <w:uiPriority w:val="0"/>
  </w:style>
  <w:style w:type="character" w:customStyle="1" w:styleId="670">
    <w:name w:val="信息标题 字符"/>
    <w:link w:val="79"/>
    <w:qFormat/>
    <w:uiPriority w:val="0"/>
    <w:rPr>
      <w:rFonts w:ascii="Arial" w:hAnsi="Arial"/>
      <w:sz w:val="24"/>
    </w:rPr>
  </w:style>
  <w:style w:type="character" w:customStyle="1" w:styleId="671">
    <w:name w:val="注释标题 字符"/>
    <w:link w:val="17"/>
    <w:qFormat/>
    <w:uiPriority w:val="0"/>
  </w:style>
  <w:style w:type="character" w:customStyle="1" w:styleId="672">
    <w:name w:val="列表 4 字符"/>
    <w:link w:val="77"/>
    <w:qFormat/>
    <w:uiPriority w:val="0"/>
  </w:style>
  <w:style w:type="paragraph" w:customStyle="1" w:styleId="673">
    <w:name w:val="主送对象"/>
    <w:qFormat/>
    <w:uiPriority w:val="0"/>
    <w:rPr>
      <w:rFonts w:ascii="楷体" w:hAnsi="楷体" w:eastAsia="楷体" w:cstheme="minorBidi"/>
      <w:sz w:val="28"/>
      <w:szCs w:val="28"/>
      <w:lang w:val="en-US" w:eastAsia="zh-CN" w:bidi="ar-SA"/>
    </w:rPr>
  </w:style>
  <w:style w:type="paragraph" w:customStyle="1" w:styleId="674">
    <w:name w:val="文档说明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5">
    <w:name w:val="章前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6">
    <w:name w:val="章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7">
    <w:name w:val="节标题"/>
    <w:qFormat/>
    <w:uiPriority w:val="0"/>
    <w:pPr>
      <w:adjustRightInd w:val="0"/>
      <w:snapToGrid w:val="0"/>
      <w:spacing w:after="156" w:afterLines="50"/>
      <w:jc w:val="center"/>
    </w:pPr>
    <w:rPr>
      <w:rFonts w:ascii="楷体" w:hAnsi="楷体" w:eastAsia="楷体" w:cstheme="minorBidi"/>
      <w:b/>
      <w:bCs/>
      <w:kern w:val="28"/>
      <w:sz w:val="32"/>
      <w:szCs w:val="32"/>
      <w:lang w:val="en-US" w:eastAsia="zh-CN" w:bidi="ar-SA"/>
    </w:rPr>
  </w:style>
  <w:style w:type="paragraph" w:customStyle="1" w:styleId="678">
    <w:name w:val="附录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79">
    <w:name w:val="声明标题"/>
    <w:qFormat/>
    <w:uiPriority w:val="0"/>
    <w:pPr>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80">
    <w:name w:val="声明正文"/>
    <w:basedOn w:val="1"/>
    <w:qFormat/>
    <w:uiPriority w:val="0"/>
    <w:pPr>
      <w:ind w:firstLine="1041"/>
    </w:pPr>
    <w:rPr>
      <w:rFonts w:hint="eastAsia"/>
    </w:rPr>
  </w:style>
  <w:style w:type="character" w:customStyle="1" w:styleId="681">
    <w:name w:val="摘要"/>
    <w:basedOn w:val="231"/>
    <w:qFormat/>
    <w:uiPriority w:val="0"/>
    <w:rPr>
      <w:rFonts w:ascii="楷体" w:hAnsi="楷体" w:eastAsia="楷体" w:cs="Times New Roman"/>
      <w:b/>
      <w:bCs/>
      <w:color w:val="auto"/>
      <w:kern w:val="2"/>
      <w:sz w:val="24"/>
      <w:szCs w:val="24"/>
      <w:lang w:val="en-US" w:eastAsia="zh-CN" w:bidi="ar-SA"/>
    </w:rPr>
  </w:style>
  <w:style w:type="paragraph" w:customStyle="1" w:styleId="682">
    <w:name w:val="摘要标题"/>
    <w:basedOn w:val="58"/>
    <w:qFormat/>
    <w:uiPriority w:val="0"/>
    <w:pPr>
      <w:jc w:val="center"/>
    </w:pPr>
    <w:rPr>
      <w:b/>
      <w:bCs/>
      <w:kern w:val="28"/>
      <w:sz w:val="40"/>
      <w:szCs w:val="40"/>
    </w:rPr>
  </w:style>
  <w:style w:type="paragraph" w:customStyle="1" w:styleId="683">
    <w:name w:val="摘要正文"/>
    <w:basedOn w:val="1"/>
    <w:qFormat/>
    <w:uiPriority w:val="0"/>
    <w:pPr>
      <w:spacing w:before="156" w:after="156"/>
      <w:ind w:firstLine="560"/>
    </w:pPr>
  </w:style>
  <w:style w:type="paragraph" w:customStyle="1" w:styleId="684">
    <w:name w:val="关键词正文"/>
    <w:qFormat/>
    <w:uiPriority w:val="0"/>
    <w:rPr>
      <w:rFonts w:ascii="楷体" w:hAnsi="楷体" w:eastAsia="楷体" w:cstheme="minorBidi"/>
      <w:sz w:val="24"/>
      <w:szCs w:val="24"/>
      <w:lang w:val="en-US" w:eastAsia="zh-CN" w:bidi="ar-SA"/>
    </w:rPr>
  </w:style>
  <w:style w:type="character" w:customStyle="1" w:styleId="685">
    <w:name w:val="关键词"/>
    <w:basedOn w:val="231"/>
    <w:qFormat/>
    <w:uiPriority w:val="0"/>
    <w:rPr>
      <w:rFonts w:ascii="楷体" w:hAnsi="楷体" w:eastAsia="楷体" w:cstheme="minorBidi"/>
      <w:b/>
      <w:bCs/>
      <w:color w:val="auto"/>
      <w:sz w:val="24"/>
      <w:szCs w:val="24"/>
      <w:lang w:val="en-US" w:eastAsia="zh-CN" w:bidi="ar-SA"/>
    </w:rPr>
  </w:style>
  <w:style w:type="paragraph" w:customStyle="1" w:styleId="686">
    <w:name w:val="英文摘要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87">
    <w:name w:val="英文摘要正文"/>
    <w:basedOn w:val="1"/>
    <w:qFormat/>
    <w:uiPriority w:val="0"/>
    <w:pPr>
      <w:spacing w:before="156" w:after="156"/>
      <w:ind w:firstLine="560"/>
    </w:pPr>
  </w:style>
  <w:style w:type="paragraph" w:customStyle="1" w:styleId="688">
    <w:name w:val="英文关键词正文"/>
    <w:qFormat/>
    <w:uiPriority w:val="0"/>
    <w:pPr>
      <w:adjustRightInd w:val="0"/>
      <w:snapToGrid w:val="0"/>
      <w:spacing w:after="156" w:afterLines="50"/>
    </w:pPr>
    <w:rPr>
      <w:rFonts w:ascii="楷体" w:hAnsi="楷体" w:eastAsia="楷体" w:cstheme="minorBidi"/>
      <w:sz w:val="24"/>
      <w:szCs w:val="24"/>
      <w:lang w:val="en-US" w:eastAsia="zh-CN" w:bidi="ar-SA"/>
    </w:rPr>
  </w:style>
  <w:style w:type="paragraph" w:customStyle="1" w:styleId="689">
    <w:name w:val="参考文献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90">
    <w:name w:val="参考文献条目"/>
    <w:qFormat/>
    <w:uiPriority w:val="0"/>
    <w:pPr>
      <w:numPr>
        <w:ilvl w:val="0"/>
        <w:numId w:val="11"/>
      </w:numPr>
      <w:adjustRightInd w:val="0"/>
      <w:snapToGrid w:val="0"/>
      <w:ind w:left="0" w:firstLine="0"/>
    </w:pPr>
    <w:rPr>
      <w:rFonts w:ascii="楷体" w:hAnsi="楷体" w:eastAsia="楷体" w:cstheme="minorBidi"/>
      <w:sz w:val="21"/>
      <w:szCs w:val="21"/>
      <w:lang w:val="en-US" w:eastAsia="zh-CN" w:bidi="ar-SA"/>
    </w:rPr>
  </w:style>
  <w:style w:type="paragraph" w:customStyle="1" w:styleId="691">
    <w:name w:val="致谢标题"/>
    <w:qFormat/>
    <w:uiPriority w:val="0"/>
    <w:pPr>
      <w:adjustRightInd w:val="0"/>
      <w:snapToGrid w:val="0"/>
      <w:spacing w:after="156" w:afterLines="50"/>
      <w:jc w:val="center"/>
    </w:pPr>
    <w:rPr>
      <w:rFonts w:ascii="楷体" w:hAnsi="楷体" w:eastAsia="楷体" w:cstheme="minorBidi"/>
      <w:b/>
      <w:bCs/>
      <w:kern w:val="28"/>
      <w:sz w:val="40"/>
      <w:szCs w:val="40"/>
      <w:lang w:val="en-US" w:eastAsia="zh-CN" w:bidi="ar-SA"/>
    </w:rPr>
  </w:style>
  <w:style w:type="paragraph" w:customStyle="1" w:styleId="692">
    <w:name w:val="致谢正文"/>
    <w:basedOn w:val="1"/>
    <w:qFormat/>
    <w:uiPriority w:val="0"/>
    <w:pPr>
      <w:spacing w:before="156" w:after="156"/>
      <w:ind w:firstLine="560"/>
      <w:jc w:val="left"/>
    </w:pPr>
  </w:style>
  <w:style w:type="paragraph" w:customStyle="1" w:styleId="693">
    <w:name w:val="表格标题"/>
    <w:qFormat/>
    <w:uiPriority w:val="0"/>
    <w:pPr>
      <w:numPr>
        <w:ilvl w:val="0"/>
        <w:numId w:val="12"/>
      </w:numPr>
      <w:adjustRightInd w:val="0"/>
      <w:snapToGrid w:val="0"/>
      <w:jc w:val="center"/>
    </w:pPr>
    <w:rPr>
      <w:rFonts w:ascii="楷体" w:hAnsi="楷体" w:eastAsia="楷体" w:cstheme="minorBidi"/>
      <w:sz w:val="21"/>
      <w:szCs w:val="21"/>
      <w:lang w:val="en-US" w:eastAsia="zh-CN" w:bidi="ar-SA"/>
    </w:rPr>
  </w:style>
  <w:style w:type="paragraph" w:customStyle="1" w:styleId="694">
    <w:name w:val="图片标题"/>
    <w:qFormat/>
    <w:uiPriority w:val="0"/>
    <w:pPr>
      <w:numPr>
        <w:ilvl w:val="0"/>
        <w:numId w:val="13"/>
      </w:numPr>
      <w:adjustRightInd w:val="0"/>
      <w:snapToGrid w:val="0"/>
      <w:jc w:val="center"/>
    </w:pPr>
    <w:rPr>
      <w:rFonts w:ascii="楷体" w:hAnsi="楷体" w:eastAsia="楷体" w:cstheme="minorBidi"/>
      <w:sz w:val="21"/>
      <w:szCs w:val="21"/>
      <w:lang w:val="en-US" w:eastAsia="zh-CN" w:bidi="ar-SA"/>
    </w:rPr>
  </w:style>
  <w:style w:type="character" w:customStyle="1" w:styleId="695">
    <w:name w:val="font01"/>
    <w:basedOn w:val="2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4569</Words>
  <Characters>4749</Characters>
  <Lines>36</Lines>
  <Paragraphs>10</Paragraphs>
  <TotalTime>84</TotalTime>
  <ScaleCrop>false</ScaleCrop>
  <LinksUpToDate>false</LinksUpToDate>
  <CharactersWithSpaces>4930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2025-05-30T13:07:00Z</dcterms:created>
  <dc:creator>近视眼</dc:creator>
  <cp:lastModifiedBy>贝壳</cp:lastModifiedBy>
  <cp:lastPrinted>2025-06-25T09:46:00Z</cp:lastPrinted>
  <dcterms:modified xsi:type="dcterms:W3CDTF">2026-03-05T13:41:29Z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EFF97F4951CBD2CB7213A969113A944D_43</vt:lpwstr>
  </property>
  <property fmtid="{D5CDD505-2E9C-101B-9397-08002B2CF9AE}" pid="4" name="KSOTemplateDocerSaveRecord">
    <vt:lpwstr>eyJoZGlkIjoiMzEwNTM5NzYwMDRjMzkwZTVkZjY2ODkwMGIxNGU0OTUiLCJ1c2VySWQiOiIxODg4NjM4In0=</vt:lpwstr>
  </property>
</Properties>
</file>