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1D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192" w:beforeAutospacing="0" w:after="192" w:afterAutospacing="0" w:line="360" w:lineRule="auto"/>
        <w:ind w:left="0" w:righ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Toc30396"/>
      <w:bookmarkStart w:id="1" w:name="_Toc1106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附件6综合评议分值明细表</w:t>
      </w:r>
      <w:bookmarkEnd w:id="0"/>
      <w:bookmarkEnd w:id="1"/>
    </w:p>
    <w:tbl>
      <w:tblPr>
        <w:tblStyle w:val="3"/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790"/>
        <w:gridCol w:w="7513"/>
      </w:tblGrid>
      <w:tr w14:paraId="1993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C112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评分项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E525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6283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评分标准</w:t>
            </w:r>
          </w:p>
        </w:tc>
      </w:tr>
      <w:tr w14:paraId="5EA3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B20F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投资报价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F6A5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DA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以不低于招商方案投资概算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万元为基础提供建设期投资报价函。报价低于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万元不得分；报价不低于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万元得基础分10分，每增加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万多得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，满分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50分。</w:t>
            </w:r>
          </w:p>
        </w:tc>
      </w:tr>
      <w:tr w14:paraId="105C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5200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运营方案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61F5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3CC7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针对本项目的实际情况和特点，提供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运营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方案（包括但不限于运营管理方案、安全方案、文服务方案、故障响应及应急处理方案）等横向比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8"/>
                <w:szCs w:val="28"/>
              </w:rPr>
              <w:t>较，综合评分。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不提供0分，不合格（差）1≤分值＜10 ；合格10≤分值＜15；良好15≤分值＜22；优秀22≤分值≤30。</w:t>
            </w:r>
          </w:p>
        </w:tc>
      </w:tr>
      <w:tr w14:paraId="243C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B155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团队实力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48C2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D12D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针对本项目的实际情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况和特点，提供锅炉作业证（电锅炉）  </w:t>
            </w:r>
          </w:p>
          <w:p w14:paraId="158DBC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得2分，提供压力容器操作证（快开门式）得2分，提供环境污染医废处置工程师得2分，提供危险货物道路运输从业人员资格证得2分，提供危险货物从业人员押运证得2分；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满分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</w:t>
            </w:r>
          </w:p>
        </w:tc>
      </w:tr>
      <w:tr w14:paraId="52F8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D221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业绩信誉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B775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0D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投资方提供至今参与投资、建设、管理经营的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医疗废弃物处置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项目业绩，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提供一个项目业绩得2分，未提供的不得分。本项共计10分。</w:t>
            </w:r>
          </w:p>
          <w:p w14:paraId="0296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注：上述业绩要求提供合同：合同需含有首页、标的页、签字页等关键内容及其他证明材料，若未提供该项不得分，若提供业绩虚假，失去参与本次招商资格及成交资格。</w:t>
            </w:r>
          </w:p>
        </w:tc>
      </w:tr>
    </w:tbl>
    <w:p w14:paraId="553DB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C6B82"/>
    <w:rsid w:val="3AFA694F"/>
    <w:rsid w:val="634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497</Characters>
  <Lines>0</Lines>
  <Paragraphs>0</Paragraphs>
  <TotalTime>0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2025-11-21T06:12:00Z</dcterms:created>
  <dc:creator>Emp'ty</dc:creator>
  <cp:lastModifiedBy>孙婧</cp:lastModifiedBy>
  <dcterms:modified xsi:type="dcterms:W3CDTF">2025-11-21T06:55:55Z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2927455D5FC84A6CB45DC77CBAC99C8C_11</vt:lpwstr>
  </property>
  <property fmtid="{D5CDD505-2E9C-101B-9397-08002B2CF9AE}" pid="4" name="KSOTemplateDocerSaveRecord">
    <vt:lpwstr>eyJoZGlkIjoiMmQzZGJjZDVhZGM1NWRhOTIwYTE5ZmZjZjkxZGZjOTIiLCJ1c2VySWQiOiI0Mzc4NTA1MDcifQ==</vt:lpwstr>
  </property>
</Properties>
</file>