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978936">
      <w:pPr>
        <w:spacing w:line="560" w:lineRule="exact"/>
        <w:ind w:firstLine="560" w:firstLineChars="200"/>
        <w:rPr>
          <w:rFonts w:ascii="黑体" w:hAnsi="黑体" w:eastAsia="黑体" w:cs="黑体"/>
          <w:bCs/>
          <w:color w:val="000000"/>
          <w:kern w:val="0"/>
          <w:sz w:val="28"/>
          <w:szCs w:val="28"/>
          <w:highlight w:val="none"/>
        </w:rPr>
      </w:pPr>
      <w:r>
        <w:rPr>
          <w:rFonts w:hint="eastAsia" w:ascii="黑体" w:hAnsi="黑体" w:eastAsia="黑体" w:cs="黑体"/>
          <w:bCs/>
          <w:color w:val="000000"/>
          <w:kern w:val="0"/>
          <w:sz w:val="28"/>
          <w:szCs w:val="28"/>
          <w:highlight w:val="none"/>
          <w:lang w:eastAsia="zh-CN"/>
        </w:rPr>
        <w:t>经营标的</w:t>
      </w:r>
      <w:r>
        <w:rPr>
          <w:rFonts w:hint="eastAsia" w:ascii="黑体" w:hAnsi="黑体" w:eastAsia="黑体" w:cs="黑体"/>
          <w:bCs/>
          <w:color w:val="000000"/>
          <w:kern w:val="0"/>
          <w:sz w:val="28"/>
          <w:szCs w:val="28"/>
          <w:highlight w:val="none"/>
        </w:rPr>
        <w:t>及现状</w:t>
      </w:r>
    </w:p>
    <w:p w14:paraId="22E5BBB7">
      <w:pPr>
        <w:spacing w:line="560" w:lineRule="exact"/>
        <w:ind w:firstLine="560" w:firstLineChars="200"/>
        <w:rPr>
          <w:rFonts w:hint="eastAsia" w:ascii="仿宋_GB2312" w:hAnsi="仿宋_GB2312" w:eastAsia="仿宋_GB2312" w:cs="仿宋_GB2312"/>
          <w:color w:val="000000"/>
          <w:sz w:val="28"/>
          <w:szCs w:val="28"/>
          <w:highlight w:val="none"/>
          <w:lang w:eastAsia="zh-CN"/>
        </w:rPr>
      </w:pPr>
      <w:r>
        <w:rPr>
          <w:rFonts w:hint="eastAsia" w:ascii="仿宋_GB2312" w:hAnsi="仿宋_GB2312" w:eastAsia="仿宋_GB2312" w:cs="仿宋_GB2312"/>
          <w:color w:val="000000"/>
          <w:sz w:val="28"/>
          <w:szCs w:val="28"/>
          <w:highlight w:val="none"/>
          <w:lang w:eastAsia="zh-CN"/>
        </w:rPr>
        <w:t>（一）经营标的</w:t>
      </w:r>
    </w:p>
    <w:p w14:paraId="05048605">
      <w:pPr>
        <w:spacing w:line="560" w:lineRule="exact"/>
        <w:ind w:firstLine="560" w:firstLineChars="200"/>
        <w:rPr>
          <w:rFonts w:hint="eastAsia" w:ascii="仿宋_GB2312" w:hAnsi="仿宋_GB2312" w:eastAsia="仿宋_GB2312" w:cs="仿宋_GB2312"/>
          <w:color w:val="000000"/>
          <w:sz w:val="28"/>
          <w:szCs w:val="28"/>
          <w:highlight w:val="none"/>
          <w:lang w:eastAsia="zh-CN"/>
        </w:rPr>
      </w:pPr>
      <w:r>
        <w:rPr>
          <w:rFonts w:hint="eastAsia" w:ascii="仿宋_GB2312" w:hAnsi="仿宋_GB2312" w:eastAsia="仿宋_GB2312" w:cs="仿宋_GB2312"/>
          <w:color w:val="000000"/>
          <w:sz w:val="28"/>
          <w:szCs w:val="28"/>
          <w:highlight w:val="none"/>
          <w:lang w:eastAsia="zh-CN"/>
        </w:rPr>
        <w:t>贵阳轨道交通首期第二批次便民服务产业包括1号线</w:t>
      </w:r>
      <w:r>
        <w:rPr>
          <w:rFonts w:hint="eastAsia" w:ascii="仿宋_GB2312" w:hAnsi="仿宋_GB2312" w:eastAsia="仿宋_GB2312" w:cs="仿宋_GB2312"/>
          <w:color w:val="000000"/>
          <w:sz w:val="28"/>
          <w:szCs w:val="28"/>
          <w:highlight w:val="none"/>
          <w:lang w:val="en-US" w:eastAsia="zh-CN"/>
        </w:rPr>
        <w:t>国际生态会议中心站D口</w:t>
      </w:r>
      <w:r>
        <w:rPr>
          <w:rFonts w:hint="eastAsia" w:ascii="仿宋_GB2312" w:hAnsi="仿宋_GB2312" w:eastAsia="仿宋_GB2312" w:cs="仿宋_GB2312"/>
          <w:color w:val="000000"/>
          <w:sz w:val="28"/>
          <w:szCs w:val="28"/>
          <w:highlight w:val="none"/>
          <w:lang w:eastAsia="zh-CN"/>
        </w:rPr>
        <w:t>（原自助设备</w:t>
      </w:r>
      <w:r>
        <w:rPr>
          <w:rFonts w:hint="eastAsia" w:ascii="仿宋_GB2312" w:hAnsi="仿宋_GB2312" w:eastAsia="仿宋_GB2312" w:cs="仿宋_GB2312"/>
          <w:color w:val="000000"/>
          <w:sz w:val="28"/>
          <w:szCs w:val="28"/>
          <w:highlight w:val="none"/>
          <w:lang w:val="en-US" w:eastAsia="zh-CN"/>
        </w:rPr>
        <w:t>区</w:t>
      </w:r>
      <w:r>
        <w:rPr>
          <w:rFonts w:hint="eastAsia" w:ascii="仿宋_GB2312" w:hAnsi="仿宋_GB2312" w:eastAsia="仿宋_GB2312" w:cs="仿宋_GB2312"/>
          <w:color w:val="000000"/>
          <w:sz w:val="28"/>
          <w:szCs w:val="28"/>
          <w:highlight w:val="none"/>
          <w:lang w:eastAsia="zh-CN"/>
        </w:rPr>
        <w:t>）1处、北京路站D口（原自助设备</w:t>
      </w:r>
      <w:r>
        <w:rPr>
          <w:rFonts w:hint="eastAsia" w:ascii="仿宋_GB2312" w:hAnsi="仿宋_GB2312" w:eastAsia="仿宋_GB2312" w:cs="仿宋_GB2312"/>
          <w:color w:val="000000"/>
          <w:sz w:val="28"/>
          <w:szCs w:val="28"/>
          <w:highlight w:val="none"/>
          <w:lang w:val="en-US" w:eastAsia="zh-CN"/>
        </w:rPr>
        <w:t>区</w:t>
      </w:r>
      <w:r>
        <w:rPr>
          <w:rFonts w:hint="eastAsia" w:ascii="仿宋_GB2312" w:hAnsi="仿宋_GB2312" w:eastAsia="仿宋_GB2312" w:cs="仿宋_GB2312"/>
          <w:color w:val="000000"/>
          <w:sz w:val="28"/>
          <w:szCs w:val="28"/>
          <w:highlight w:val="none"/>
          <w:lang w:eastAsia="zh-CN"/>
        </w:rPr>
        <w:t>）1处、河滨公园站B口1</w:t>
      </w:r>
      <w:r>
        <w:rPr>
          <w:rFonts w:hint="eastAsia" w:ascii="仿宋_GB2312" w:hAnsi="仿宋_GB2312" w:eastAsia="仿宋_GB2312" w:cs="仿宋_GB2312"/>
          <w:color w:val="FF0000"/>
          <w:sz w:val="28"/>
          <w:szCs w:val="28"/>
          <w:highlight w:val="none"/>
          <w:lang w:val="en-US" w:eastAsia="zh-CN"/>
        </w:rPr>
        <w:t>处</w:t>
      </w:r>
      <w:r>
        <w:rPr>
          <w:rFonts w:hint="eastAsia" w:ascii="仿宋_GB2312" w:hAnsi="仿宋_GB2312" w:eastAsia="仿宋_GB2312" w:cs="仿宋_GB2312"/>
          <w:color w:val="000000"/>
          <w:sz w:val="28"/>
          <w:szCs w:val="28"/>
          <w:highlight w:val="none"/>
          <w:lang w:eastAsia="zh-CN"/>
        </w:rPr>
        <w:t>共</w:t>
      </w:r>
      <w:r>
        <w:rPr>
          <w:rFonts w:hint="eastAsia" w:ascii="仿宋_GB2312" w:hAnsi="仿宋_GB2312" w:eastAsia="仿宋_GB2312" w:cs="仿宋_GB2312"/>
          <w:color w:val="000000"/>
          <w:sz w:val="28"/>
          <w:szCs w:val="28"/>
          <w:highlight w:val="none"/>
          <w:lang w:val="en-US" w:eastAsia="zh-CN"/>
        </w:rPr>
        <w:t>3</w:t>
      </w:r>
      <w:r>
        <w:rPr>
          <w:rFonts w:hint="eastAsia" w:ascii="仿宋_GB2312" w:hAnsi="仿宋_GB2312" w:eastAsia="仿宋_GB2312" w:cs="仿宋_GB2312"/>
          <w:color w:val="000000"/>
          <w:sz w:val="28"/>
          <w:szCs w:val="28"/>
          <w:highlight w:val="none"/>
          <w:lang w:eastAsia="zh-CN"/>
        </w:rPr>
        <w:t>个站点的</w:t>
      </w:r>
      <w:r>
        <w:rPr>
          <w:rFonts w:hint="eastAsia" w:ascii="仿宋_GB2312" w:hAnsi="仿宋_GB2312" w:eastAsia="仿宋_GB2312" w:cs="仿宋_GB2312"/>
          <w:color w:val="000000"/>
          <w:sz w:val="28"/>
          <w:szCs w:val="28"/>
          <w:highlight w:val="none"/>
          <w:lang w:val="en-US" w:eastAsia="zh-CN"/>
        </w:rPr>
        <w:t>3</w:t>
      </w:r>
      <w:r>
        <w:rPr>
          <w:rFonts w:hint="eastAsia" w:ascii="仿宋_GB2312" w:hAnsi="仿宋_GB2312" w:eastAsia="仿宋_GB2312" w:cs="仿宋_GB2312"/>
          <w:color w:val="000000"/>
          <w:sz w:val="28"/>
          <w:szCs w:val="28"/>
          <w:highlight w:val="none"/>
          <w:lang w:eastAsia="zh-CN"/>
        </w:rPr>
        <w:t>处站厅区域（如下表）。</w:t>
      </w:r>
    </w:p>
    <w:p w14:paraId="62EB8807">
      <w:pPr>
        <w:rPr>
          <w:rFonts w:hint="eastAsia"/>
          <w:highlight w:val="none"/>
        </w:rPr>
      </w:pPr>
    </w:p>
    <w:tbl>
      <w:tblPr>
        <w:tblStyle w:val="4"/>
        <w:tblW w:w="408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03"/>
        <w:gridCol w:w="2438"/>
        <w:gridCol w:w="1116"/>
        <w:gridCol w:w="1219"/>
        <w:gridCol w:w="1578"/>
      </w:tblGrid>
      <w:tr w14:paraId="6007AC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433" w:type="pct"/>
            <w:tcBorders>
              <w:tl2br w:val="nil"/>
              <w:tr2bl w:val="nil"/>
            </w:tcBorders>
            <w:noWrap/>
            <w:vAlign w:val="center"/>
          </w:tcPr>
          <w:p w14:paraId="3167375B">
            <w:pPr>
              <w:widowControl/>
              <w:jc w:val="center"/>
              <w:textAlignment w:val="center"/>
              <w:rPr>
                <w:rFonts w:hint="eastAsia" w:ascii="仿宋_GB2312" w:hAnsi="宋体" w:eastAsia="仿宋_GB2312" w:cs="宋体"/>
                <w:color w:val="000000"/>
                <w:sz w:val="24"/>
                <w:szCs w:val="24"/>
                <w:highlight w:val="none"/>
              </w:rPr>
            </w:pPr>
            <w:r>
              <w:rPr>
                <w:rFonts w:hint="eastAsia" w:ascii="仿宋_GB2312" w:hAnsi="宋体" w:eastAsia="仿宋_GB2312" w:cs="宋体"/>
                <w:color w:val="000000"/>
                <w:kern w:val="0"/>
                <w:sz w:val="24"/>
                <w:szCs w:val="24"/>
                <w:highlight w:val="none"/>
                <w:lang w:bidi="ar"/>
              </w:rPr>
              <w:t>序号</w:t>
            </w:r>
          </w:p>
        </w:tc>
        <w:tc>
          <w:tcPr>
            <w:tcW w:w="1752" w:type="pct"/>
            <w:tcBorders>
              <w:tl2br w:val="nil"/>
              <w:tr2bl w:val="nil"/>
            </w:tcBorders>
            <w:noWrap/>
            <w:vAlign w:val="center"/>
          </w:tcPr>
          <w:p w14:paraId="3A366516">
            <w:pPr>
              <w:widowControl/>
              <w:jc w:val="center"/>
              <w:textAlignment w:val="center"/>
              <w:rPr>
                <w:rFonts w:hint="eastAsia" w:ascii="仿宋_GB2312" w:hAnsi="宋体" w:eastAsia="仿宋_GB2312" w:cs="宋体"/>
                <w:color w:val="000000"/>
                <w:sz w:val="24"/>
                <w:szCs w:val="24"/>
                <w:highlight w:val="none"/>
              </w:rPr>
            </w:pPr>
            <w:r>
              <w:rPr>
                <w:rFonts w:hint="eastAsia" w:ascii="仿宋_GB2312" w:hAnsi="宋体" w:eastAsia="仿宋_GB2312" w:cs="宋体"/>
                <w:color w:val="000000"/>
                <w:kern w:val="0"/>
                <w:sz w:val="24"/>
                <w:szCs w:val="24"/>
                <w:highlight w:val="none"/>
                <w:lang w:bidi="ar"/>
              </w:rPr>
              <w:t>站点</w:t>
            </w:r>
          </w:p>
        </w:tc>
        <w:tc>
          <w:tcPr>
            <w:tcW w:w="802" w:type="pct"/>
            <w:tcBorders>
              <w:tl2br w:val="nil"/>
              <w:tr2bl w:val="nil"/>
            </w:tcBorders>
            <w:noWrap/>
            <w:vAlign w:val="center"/>
          </w:tcPr>
          <w:p w14:paraId="549CDE39">
            <w:pPr>
              <w:widowControl/>
              <w:jc w:val="center"/>
              <w:textAlignment w:val="center"/>
              <w:rPr>
                <w:rFonts w:hint="eastAsia" w:ascii="仿宋_GB2312" w:hAnsi="宋体" w:eastAsia="仿宋_GB2312" w:cs="宋体"/>
                <w:color w:val="000000"/>
                <w:sz w:val="24"/>
                <w:szCs w:val="24"/>
                <w:highlight w:val="none"/>
              </w:rPr>
            </w:pPr>
            <w:r>
              <w:rPr>
                <w:rFonts w:hint="eastAsia" w:ascii="仿宋_GB2312" w:hAnsi="宋体" w:eastAsia="仿宋_GB2312" w:cs="宋体"/>
                <w:color w:val="000000"/>
                <w:kern w:val="0"/>
                <w:sz w:val="24"/>
                <w:szCs w:val="24"/>
                <w:highlight w:val="none"/>
                <w:lang w:bidi="ar"/>
              </w:rPr>
              <w:t>面积（</w:t>
            </w:r>
            <w:r>
              <w:rPr>
                <w:rFonts w:hint="eastAsia" w:ascii="Segoe UI Symbol" w:hAnsi="Segoe UI Symbol" w:eastAsia="宋体" w:cs="Segoe UI Symbol"/>
                <w:color w:val="000000"/>
                <w:kern w:val="0"/>
                <w:sz w:val="24"/>
                <w:szCs w:val="24"/>
                <w:highlight w:val="none"/>
                <w:lang w:val="en-US" w:eastAsia="zh-CN" w:bidi="ar"/>
              </w:rPr>
              <w:t>㎡</w:t>
            </w:r>
            <w:r>
              <w:rPr>
                <w:rFonts w:hint="eastAsia" w:ascii="仿宋_GB2312" w:hAnsi="仿宋_GB2312" w:eastAsia="仿宋_GB2312" w:cs="仿宋_GB2312"/>
                <w:color w:val="000000"/>
                <w:kern w:val="0"/>
                <w:sz w:val="24"/>
                <w:szCs w:val="24"/>
                <w:highlight w:val="none"/>
                <w:lang w:bidi="ar"/>
              </w:rPr>
              <w:t>）</w:t>
            </w:r>
          </w:p>
        </w:tc>
        <w:tc>
          <w:tcPr>
            <w:tcW w:w="876" w:type="pct"/>
            <w:tcBorders>
              <w:tl2br w:val="nil"/>
              <w:tr2bl w:val="nil"/>
            </w:tcBorders>
            <w:noWrap/>
            <w:vAlign w:val="center"/>
          </w:tcPr>
          <w:p w14:paraId="6A5B5CD4">
            <w:pPr>
              <w:widowControl/>
              <w:jc w:val="center"/>
              <w:textAlignment w:val="center"/>
              <w:rPr>
                <w:rFonts w:hint="eastAsia" w:ascii="仿宋_GB2312" w:hAnsi="宋体" w:eastAsia="仿宋_GB2312" w:cs="宋体"/>
                <w:color w:val="000000"/>
                <w:sz w:val="24"/>
                <w:szCs w:val="24"/>
                <w:highlight w:val="none"/>
              </w:rPr>
            </w:pPr>
            <w:r>
              <w:rPr>
                <w:rFonts w:hint="eastAsia" w:ascii="仿宋_GB2312" w:hAnsi="宋体" w:eastAsia="仿宋_GB2312" w:cs="宋体"/>
                <w:color w:val="000000"/>
                <w:sz w:val="24"/>
                <w:szCs w:val="24"/>
                <w:highlight w:val="none"/>
              </w:rPr>
              <w:t>供电(KW)</w:t>
            </w:r>
          </w:p>
        </w:tc>
        <w:tc>
          <w:tcPr>
            <w:tcW w:w="1134" w:type="pct"/>
            <w:tcBorders>
              <w:tl2br w:val="nil"/>
              <w:tr2bl w:val="nil"/>
            </w:tcBorders>
            <w:noWrap w:val="0"/>
            <w:vAlign w:val="center"/>
          </w:tcPr>
          <w:p w14:paraId="3D39C584">
            <w:pPr>
              <w:widowControl/>
              <w:jc w:val="center"/>
              <w:textAlignment w:val="center"/>
              <w:rPr>
                <w:rFonts w:hint="eastAsia" w:ascii="仿宋_GB2312" w:hAnsi="宋体" w:eastAsia="仿宋_GB2312" w:cs="宋体"/>
                <w:color w:val="000000"/>
                <w:sz w:val="24"/>
                <w:szCs w:val="24"/>
                <w:highlight w:val="none"/>
              </w:rPr>
            </w:pPr>
            <w:r>
              <w:rPr>
                <w:rFonts w:hint="eastAsia" w:ascii="仿宋_GB2312" w:hAnsi="宋体" w:eastAsia="仿宋_GB2312" w:cs="宋体"/>
                <w:color w:val="000000"/>
                <w:kern w:val="0"/>
                <w:sz w:val="24"/>
                <w:szCs w:val="24"/>
                <w:highlight w:val="none"/>
                <w:lang w:bidi="ar"/>
              </w:rPr>
              <w:t>备注</w:t>
            </w:r>
          </w:p>
        </w:tc>
      </w:tr>
      <w:tr w14:paraId="21A1E9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433" w:type="pct"/>
            <w:tcBorders>
              <w:tl2br w:val="nil"/>
              <w:tr2bl w:val="nil"/>
            </w:tcBorders>
            <w:noWrap/>
            <w:vAlign w:val="center"/>
          </w:tcPr>
          <w:p w14:paraId="383BFCB4">
            <w:pPr>
              <w:widowControl/>
              <w:jc w:val="center"/>
              <w:textAlignment w:val="center"/>
              <w:rPr>
                <w:rFonts w:hint="eastAsia" w:ascii="仿宋_GB2312" w:hAnsi="宋体" w:eastAsia="仿宋_GB2312" w:cs="宋体"/>
                <w:color w:val="000000"/>
                <w:sz w:val="24"/>
                <w:szCs w:val="24"/>
                <w:highlight w:val="none"/>
              </w:rPr>
            </w:pPr>
            <w:r>
              <w:rPr>
                <w:rFonts w:hint="eastAsia" w:ascii="仿宋_GB2312" w:hAnsi="宋体" w:eastAsia="仿宋_GB2312" w:cs="宋体"/>
                <w:color w:val="000000"/>
                <w:kern w:val="0"/>
                <w:sz w:val="24"/>
                <w:szCs w:val="24"/>
                <w:highlight w:val="none"/>
                <w:lang w:bidi="ar"/>
              </w:rPr>
              <w:t>1</w:t>
            </w:r>
          </w:p>
        </w:tc>
        <w:tc>
          <w:tcPr>
            <w:tcW w:w="1752" w:type="pct"/>
            <w:tcBorders>
              <w:tl2br w:val="nil"/>
              <w:tr2bl w:val="nil"/>
            </w:tcBorders>
            <w:noWrap/>
            <w:vAlign w:val="center"/>
          </w:tcPr>
          <w:p w14:paraId="64707DCB">
            <w:pPr>
              <w:widowControl/>
              <w:jc w:val="center"/>
              <w:textAlignment w:val="center"/>
              <w:rPr>
                <w:rFonts w:hint="default" w:ascii="仿宋_GB2312" w:hAnsi="宋体" w:eastAsia="仿宋_GB2312" w:cs="宋体"/>
                <w:color w:val="000000"/>
                <w:sz w:val="24"/>
                <w:szCs w:val="24"/>
                <w:highlight w:val="none"/>
                <w:lang w:val="en-US" w:eastAsia="zh-CN"/>
              </w:rPr>
            </w:pPr>
            <w:r>
              <w:rPr>
                <w:rFonts w:hint="eastAsia" w:ascii="仿宋_GB2312" w:hAnsi="宋体" w:eastAsia="仿宋_GB2312" w:cs="宋体"/>
                <w:color w:val="000000"/>
                <w:kern w:val="0"/>
                <w:sz w:val="24"/>
                <w:szCs w:val="24"/>
                <w:highlight w:val="none"/>
                <w:lang w:val="en-US" w:eastAsia="zh-CN" w:bidi="ar"/>
              </w:rPr>
              <w:t>国际生态会议中心站D口</w:t>
            </w:r>
          </w:p>
        </w:tc>
        <w:tc>
          <w:tcPr>
            <w:tcW w:w="802" w:type="pct"/>
            <w:tcBorders>
              <w:tl2br w:val="nil"/>
              <w:tr2bl w:val="nil"/>
            </w:tcBorders>
            <w:noWrap/>
            <w:vAlign w:val="center"/>
          </w:tcPr>
          <w:p w14:paraId="0EB3EC97">
            <w:pPr>
              <w:widowControl/>
              <w:jc w:val="center"/>
              <w:textAlignment w:val="center"/>
              <w:rPr>
                <w:rFonts w:hint="default" w:ascii="仿宋_GB2312" w:hAnsi="宋体" w:eastAsia="仿宋_GB2312" w:cs="宋体"/>
                <w:color w:val="000000"/>
                <w:sz w:val="24"/>
                <w:szCs w:val="24"/>
                <w:highlight w:val="none"/>
                <w:lang w:val="en-US" w:eastAsia="zh-CN"/>
              </w:rPr>
            </w:pPr>
            <w:r>
              <w:rPr>
                <w:rFonts w:hint="eastAsia" w:ascii="仿宋_GB2312" w:hAnsi="宋体" w:eastAsia="仿宋_GB2312" w:cs="宋体"/>
                <w:color w:val="000000"/>
                <w:kern w:val="0"/>
                <w:sz w:val="24"/>
                <w:szCs w:val="24"/>
                <w:highlight w:val="none"/>
                <w:lang w:val="en-US" w:eastAsia="zh-CN" w:bidi="ar"/>
              </w:rPr>
              <w:t>17.45</w:t>
            </w:r>
          </w:p>
        </w:tc>
        <w:tc>
          <w:tcPr>
            <w:tcW w:w="876" w:type="pct"/>
            <w:tcBorders>
              <w:tl2br w:val="nil"/>
              <w:tr2bl w:val="nil"/>
            </w:tcBorders>
            <w:noWrap/>
            <w:vAlign w:val="center"/>
          </w:tcPr>
          <w:p w14:paraId="7D5900AF">
            <w:pPr>
              <w:jc w:val="center"/>
              <w:rPr>
                <w:rFonts w:hint="eastAsia" w:ascii="仿宋_GB2312" w:hAnsi="宋体" w:eastAsia="仿宋_GB2312" w:cs="宋体"/>
                <w:color w:val="000000"/>
                <w:sz w:val="24"/>
                <w:szCs w:val="24"/>
                <w:highlight w:val="none"/>
              </w:rPr>
            </w:pPr>
            <w:r>
              <w:rPr>
                <w:rFonts w:hint="eastAsia" w:ascii="仿宋_GB2312" w:hAnsi="宋体" w:eastAsia="仿宋_GB2312" w:cs="宋体"/>
                <w:color w:val="000000"/>
                <w:sz w:val="24"/>
                <w:szCs w:val="24"/>
                <w:highlight w:val="none"/>
              </w:rPr>
              <w:t>220V</w:t>
            </w:r>
            <w:r>
              <w:rPr>
                <w:rFonts w:ascii="仿宋_GB2312" w:hAnsi="宋体" w:eastAsia="仿宋_GB2312" w:cs="宋体"/>
                <w:color w:val="000000"/>
                <w:sz w:val="24"/>
                <w:szCs w:val="24"/>
                <w:highlight w:val="none"/>
              </w:rPr>
              <w:t xml:space="preserve"> </w:t>
            </w:r>
            <w:r>
              <w:rPr>
                <w:rFonts w:hint="eastAsia" w:ascii="仿宋_GB2312" w:hAnsi="宋体" w:eastAsia="仿宋_GB2312" w:cs="宋体"/>
                <w:color w:val="000000"/>
                <w:sz w:val="24"/>
                <w:szCs w:val="24"/>
                <w:highlight w:val="none"/>
                <w:lang w:val="en-US" w:eastAsia="zh-CN"/>
              </w:rPr>
              <w:t>10</w:t>
            </w:r>
            <w:r>
              <w:rPr>
                <w:rFonts w:ascii="仿宋_GB2312" w:hAnsi="宋体" w:eastAsia="仿宋_GB2312" w:cs="宋体"/>
                <w:color w:val="000000"/>
                <w:sz w:val="24"/>
                <w:szCs w:val="24"/>
                <w:highlight w:val="none"/>
              </w:rPr>
              <w:t>KW</w:t>
            </w:r>
          </w:p>
        </w:tc>
        <w:tc>
          <w:tcPr>
            <w:tcW w:w="1134" w:type="pct"/>
            <w:tcBorders>
              <w:tl2br w:val="nil"/>
              <w:tr2bl w:val="nil"/>
            </w:tcBorders>
            <w:noWrap w:val="0"/>
            <w:vAlign w:val="center"/>
          </w:tcPr>
          <w:p w14:paraId="404B5568">
            <w:pPr>
              <w:jc w:val="center"/>
              <w:rPr>
                <w:rFonts w:hint="eastAsia" w:ascii="仿宋_GB2312" w:hAnsi="宋体" w:eastAsia="仿宋_GB2312" w:cs="宋体"/>
                <w:color w:val="000000"/>
                <w:sz w:val="24"/>
                <w:szCs w:val="24"/>
                <w:highlight w:val="none"/>
              </w:rPr>
            </w:pPr>
            <w:r>
              <w:rPr>
                <w:rFonts w:hint="eastAsia" w:ascii="仿宋_GB2312" w:hAnsi="宋体" w:eastAsia="仿宋_GB2312" w:cs="宋体"/>
                <w:color w:val="000000"/>
                <w:sz w:val="24"/>
                <w:szCs w:val="24"/>
                <w:highlight w:val="none"/>
              </w:rPr>
              <w:t>原自助设备区</w:t>
            </w:r>
          </w:p>
        </w:tc>
      </w:tr>
      <w:tr w14:paraId="11AAB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33" w:type="pct"/>
            <w:tcBorders>
              <w:tl2br w:val="nil"/>
              <w:tr2bl w:val="nil"/>
            </w:tcBorders>
            <w:noWrap/>
            <w:vAlign w:val="center"/>
          </w:tcPr>
          <w:p w14:paraId="550EC25D">
            <w:pPr>
              <w:widowControl/>
              <w:jc w:val="center"/>
              <w:textAlignment w:val="center"/>
              <w:rPr>
                <w:rFonts w:hint="eastAsia" w:ascii="仿宋_GB2312" w:hAnsi="宋体" w:eastAsia="仿宋_GB2312" w:cs="宋体"/>
                <w:color w:val="000000"/>
                <w:sz w:val="24"/>
                <w:szCs w:val="24"/>
                <w:highlight w:val="none"/>
              </w:rPr>
            </w:pPr>
            <w:r>
              <w:rPr>
                <w:rFonts w:hint="eastAsia" w:ascii="仿宋_GB2312" w:hAnsi="宋体" w:eastAsia="仿宋_GB2312" w:cs="宋体"/>
                <w:color w:val="000000"/>
                <w:kern w:val="0"/>
                <w:sz w:val="24"/>
                <w:szCs w:val="24"/>
                <w:highlight w:val="none"/>
                <w:lang w:bidi="ar"/>
              </w:rPr>
              <w:t>2</w:t>
            </w:r>
          </w:p>
        </w:tc>
        <w:tc>
          <w:tcPr>
            <w:tcW w:w="1752" w:type="pct"/>
            <w:tcBorders>
              <w:tl2br w:val="nil"/>
              <w:tr2bl w:val="nil"/>
            </w:tcBorders>
            <w:noWrap/>
            <w:vAlign w:val="center"/>
          </w:tcPr>
          <w:p w14:paraId="6556421E">
            <w:pPr>
              <w:widowControl/>
              <w:jc w:val="center"/>
              <w:textAlignment w:val="center"/>
              <w:rPr>
                <w:rFonts w:hint="eastAsia" w:ascii="仿宋_GB2312" w:hAnsi="宋体" w:eastAsia="仿宋_GB2312" w:cs="宋体"/>
                <w:color w:val="000000"/>
                <w:sz w:val="24"/>
                <w:szCs w:val="24"/>
                <w:highlight w:val="none"/>
              </w:rPr>
            </w:pPr>
            <w:r>
              <w:rPr>
                <w:rFonts w:hint="eastAsia" w:ascii="仿宋_GB2312" w:hAnsi="宋体" w:eastAsia="仿宋_GB2312" w:cs="宋体"/>
                <w:color w:val="000000"/>
                <w:kern w:val="0"/>
                <w:sz w:val="24"/>
                <w:szCs w:val="24"/>
                <w:highlight w:val="none"/>
                <w:lang w:bidi="ar"/>
              </w:rPr>
              <w:t>北京路站D口</w:t>
            </w:r>
          </w:p>
        </w:tc>
        <w:tc>
          <w:tcPr>
            <w:tcW w:w="802" w:type="pct"/>
            <w:tcBorders>
              <w:tl2br w:val="nil"/>
              <w:tr2bl w:val="nil"/>
            </w:tcBorders>
            <w:noWrap/>
            <w:vAlign w:val="center"/>
          </w:tcPr>
          <w:p w14:paraId="55F7E7FF">
            <w:pPr>
              <w:widowControl/>
              <w:jc w:val="center"/>
              <w:textAlignment w:val="center"/>
              <w:rPr>
                <w:rFonts w:hint="eastAsia" w:ascii="仿宋_GB2312" w:hAnsi="宋体" w:eastAsia="仿宋_GB2312" w:cs="宋体"/>
                <w:color w:val="000000"/>
                <w:sz w:val="24"/>
                <w:szCs w:val="24"/>
                <w:highlight w:val="none"/>
              </w:rPr>
            </w:pPr>
            <w:r>
              <w:rPr>
                <w:rFonts w:ascii="仿宋_GB2312" w:hAnsi="宋体" w:eastAsia="仿宋_GB2312" w:cs="宋体"/>
                <w:color w:val="000000"/>
                <w:kern w:val="0"/>
                <w:sz w:val="24"/>
                <w:szCs w:val="24"/>
                <w:highlight w:val="none"/>
                <w:lang w:bidi="ar"/>
              </w:rPr>
              <w:t>15.32</w:t>
            </w:r>
          </w:p>
        </w:tc>
        <w:tc>
          <w:tcPr>
            <w:tcW w:w="876" w:type="pct"/>
            <w:tcBorders>
              <w:tl2br w:val="nil"/>
              <w:tr2bl w:val="nil"/>
            </w:tcBorders>
            <w:noWrap/>
            <w:vAlign w:val="center"/>
          </w:tcPr>
          <w:p w14:paraId="3085BEC9">
            <w:pPr>
              <w:jc w:val="center"/>
              <w:rPr>
                <w:rFonts w:hint="eastAsia" w:ascii="仿宋_GB2312" w:hAnsi="宋体" w:eastAsia="仿宋_GB2312" w:cs="宋体"/>
                <w:color w:val="000000"/>
                <w:sz w:val="24"/>
                <w:szCs w:val="24"/>
                <w:highlight w:val="none"/>
              </w:rPr>
            </w:pPr>
            <w:r>
              <w:rPr>
                <w:rFonts w:ascii="仿宋_GB2312" w:hAnsi="宋体" w:eastAsia="仿宋_GB2312" w:cs="宋体"/>
                <w:color w:val="000000"/>
                <w:sz w:val="24"/>
                <w:szCs w:val="24"/>
                <w:highlight w:val="none"/>
              </w:rPr>
              <w:t>220V 3KW</w:t>
            </w:r>
          </w:p>
        </w:tc>
        <w:tc>
          <w:tcPr>
            <w:tcW w:w="1134" w:type="pct"/>
            <w:tcBorders>
              <w:tl2br w:val="nil"/>
              <w:tr2bl w:val="nil"/>
            </w:tcBorders>
            <w:noWrap w:val="0"/>
            <w:vAlign w:val="center"/>
          </w:tcPr>
          <w:p w14:paraId="6E9A0D42">
            <w:pPr>
              <w:jc w:val="center"/>
              <w:rPr>
                <w:rFonts w:hint="eastAsia" w:ascii="仿宋_GB2312" w:hAnsi="宋体" w:eastAsia="仿宋_GB2312" w:cs="宋体"/>
                <w:color w:val="000000"/>
                <w:sz w:val="24"/>
                <w:szCs w:val="24"/>
                <w:highlight w:val="none"/>
              </w:rPr>
            </w:pPr>
            <w:r>
              <w:rPr>
                <w:rFonts w:hint="eastAsia" w:ascii="仿宋_GB2312" w:hAnsi="宋体" w:eastAsia="仿宋_GB2312" w:cs="宋体"/>
                <w:color w:val="000000"/>
                <w:sz w:val="24"/>
                <w:szCs w:val="24"/>
                <w:highlight w:val="none"/>
              </w:rPr>
              <w:t>原自助设备区</w:t>
            </w:r>
          </w:p>
        </w:tc>
      </w:tr>
      <w:tr w14:paraId="68BE35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433" w:type="pct"/>
            <w:tcBorders>
              <w:tl2br w:val="nil"/>
              <w:tr2bl w:val="nil"/>
            </w:tcBorders>
            <w:noWrap/>
            <w:vAlign w:val="center"/>
          </w:tcPr>
          <w:p w14:paraId="7BF581A1">
            <w:pPr>
              <w:widowControl/>
              <w:jc w:val="center"/>
              <w:textAlignment w:val="center"/>
              <w:rPr>
                <w:rFonts w:hint="eastAsia" w:ascii="仿宋_GB2312" w:hAnsi="宋体" w:eastAsia="仿宋_GB2312" w:cs="宋体"/>
                <w:color w:val="000000"/>
                <w:sz w:val="24"/>
                <w:szCs w:val="24"/>
                <w:highlight w:val="none"/>
              </w:rPr>
            </w:pPr>
            <w:r>
              <w:rPr>
                <w:rFonts w:hint="eastAsia" w:ascii="仿宋_GB2312" w:hAnsi="宋体" w:eastAsia="仿宋_GB2312" w:cs="宋体"/>
                <w:color w:val="000000"/>
                <w:kern w:val="0"/>
                <w:sz w:val="24"/>
                <w:szCs w:val="24"/>
                <w:highlight w:val="none"/>
                <w:lang w:bidi="ar"/>
              </w:rPr>
              <w:t>3</w:t>
            </w:r>
          </w:p>
        </w:tc>
        <w:tc>
          <w:tcPr>
            <w:tcW w:w="1752" w:type="pct"/>
            <w:tcBorders>
              <w:tl2br w:val="nil"/>
              <w:tr2bl w:val="nil"/>
            </w:tcBorders>
            <w:noWrap/>
            <w:vAlign w:val="center"/>
          </w:tcPr>
          <w:p w14:paraId="144F3C70">
            <w:pPr>
              <w:widowControl/>
              <w:jc w:val="center"/>
              <w:textAlignment w:val="center"/>
              <w:rPr>
                <w:rFonts w:hint="eastAsia" w:ascii="仿宋_GB2312" w:hAnsi="宋体" w:eastAsia="仿宋_GB2312" w:cs="宋体"/>
                <w:color w:val="000000"/>
                <w:sz w:val="24"/>
                <w:szCs w:val="24"/>
                <w:highlight w:val="none"/>
              </w:rPr>
            </w:pPr>
            <w:r>
              <w:rPr>
                <w:rFonts w:hint="eastAsia" w:ascii="仿宋_GB2312" w:hAnsi="宋体" w:eastAsia="仿宋_GB2312" w:cs="宋体"/>
                <w:color w:val="000000"/>
                <w:kern w:val="0"/>
                <w:sz w:val="24"/>
                <w:szCs w:val="24"/>
                <w:highlight w:val="none"/>
                <w:lang w:bidi="ar"/>
              </w:rPr>
              <w:t>河滨公园站B口</w:t>
            </w:r>
          </w:p>
        </w:tc>
        <w:tc>
          <w:tcPr>
            <w:tcW w:w="802" w:type="pct"/>
            <w:tcBorders>
              <w:tl2br w:val="nil"/>
              <w:tr2bl w:val="nil"/>
            </w:tcBorders>
            <w:noWrap/>
            <w:vAlign w:val="center"/>
          </w:tcPr>
          <w:p w14:paraId="77D0FA8C">
            <w:pPr>
              <w:widowControl/>
              <w:jc w:val="center"/>
              <w:textAlignment w:val="center"/>
              <w:rPr>
                <w:rFonts w:hint="eastAsia" w:ascii="仿宋_GB2312" w:hAnsi="宋体" w:eastAsia="仿宋_GB2312" w:cs="宋体"/>
                <w:color w:val="000000"/>
                <w:sz w:val="24"/>
                <w:szCs w:val="24"/>
                <w:highlight w:val="none"/>
                <w:lang w:val="en-US" w:eastAsia="zh-CN"/>
              </w:rPr>
            </w:pPr>
            <w:r>
              <w:rPr>
                <w:rFonts w:ascii="仿宋_GB2312" w:hAnsi="宋体" w:eastAsia="仿宋_GB2312" w:cs="宋体"/>
                <w:color w:val="000000"/>
                <w:kern w:val="0"/>
                <w:sz w:val="24"/>
                <w:szCs w:val="24"/>
                <w:highlight w:val="none"/>
                <w:lang w:bidi="ar"/>
              </w:rPr>
              <w:t>14.7</w:t>
            </w:r>
            <w:r>
              <w:rPr>
                <w:rFonts w:hint="eastAsia" w:ascii="仿宋_GB2312" w:hAnsi="宋体" w:eastAsia="仿宋_GB2312" w:cs="宋体"/>
                <w:color w:val="000000"/>
                <w:kern w:val="0"/>
                <w:sz w:val="24"/>
                <w:szCs w:val="24"/>
                <w:highlight w:val="none"/>
                <w:lang w:val="en-US" w:eastAsia="zh-CN" w:bidi="ar"/>
              </w:rPr>
              <w:t>0</w:t>
            </w:r>
          </w:p>
        </w:tc>
        <w:tc>
          <w:tcPr>
            <w:tcW w:w="876" w:type="pct"/>
            <w:tcBorders>
              <w:tl2br w:val="nil"/>
              <w:tr2bl w:val="nil"/>
            </w:tcBorders>
            <w:noWrap/>
            <w:vAlign w:val="center"/>
          </w:tcPr>
          <w:p w14:paraId="3D98851F">
            <w:pPr>
              <w:jc w:val="center"/>
              <w:rPr>
                <w:rFonts w:hint="eastAsia" w:ascii="仿宋_GB2312" w:hAnsi="宋体" w:eastAsia="仿宋_GB2312" w:cs="宋体"/>
                <w:color w:val="000000"/>
                <w:sz w:val="24"/>
                <w:szCs w:val="24"/>
                <w:highlight w:val="none"/>
              </w:rPr>
            </w:pPr>
            <w:r>
              <w:rPr>
                <w:rFonts w:ascii="仿宋_GB2312" w:hAnsi="宋体" w:eastAsia="仿宋_GB2312" w:cs="宋体"/>
                <w:color w:val="000000"/>
                <w:sz w:val="24"/>
                <w:szCs w:val="24"/>
                <w:highlight w:val="none"/>
              </w:rPr>
              <w:t>220V 8KW</w:t>
            </w:r>
          </w:p>
        </w:tc>
        <w:tc>
          <w:tcPr>
            <w:tcW w:w="1134" w:type="pct"/>
            <w:tcBorders>
              <w:tl2br w:val="nil"/>
              <w:tr2bl w:val="nil"/>
            </w:tcBorders>
            <w:noWrap w:val="0"/>
            <w:vAlign w:val="center"/>
          </w:tcPr>
          <w:p w14:paraId="2C946842">
            <w:pPr>
              <w:jc w:val="center"/>
              <w:rPr>
                <w:rFonts w:hint="eastAsia" w:ascii="仿宋_GB2312" w:hAnsi="宋体" w:eastAsia="仿宋_GB2312" w:cs="宋体"/>
                <w:color w:val="000000"/>
                <w:sz w:val="24"/>
                <w:szCs w:val="24"/>
                <w:highlight w:val="none"/>
              </w:rPr>
            </w:pPr>
            <w:r>
              <w:rPr>
                <w:rFonts w:hint="eastAsia" w:ascii="仿宋_GB2312" w:hAnsi="宋体" w:eastAsia="仿宋_GB2312" w:cs="宋体"/>
                <w:color w:val="000000"/>
                <w:sz w:val="24"/>
                <w:szCs w:val="24"/>
                <w:highlight w:val="none"/>
              </w:rPr>
              <w:t>原自助设备区</w:t>
            </w:r>
          </w:p>
        </w:tc>
      </w:tr>
    </w:tbl>
    <w:p w14:paraId="44C4545E">
      <w:pPr>
        <w:spacing w:line="560" w:lineRule="exact"/>
        <w:ind w:firstLine="480" w:firstLineChars="200"/>
        <w:rPr>
          <w:rFonts w:hint="eastAsia" w:ascii="仿宋_GB2312" w:hAnsi="仿宋_GB2312" w:eastAsia="仿宋_GB2312" w:cs="仿宋_GB2312"/>
          <w:color w:val="000000"/>
          <w:sz w:val="24"/>
          <w:szCs w:val="24"/>
          <w:highlight w:val="none"/>
          <w:lang w:eastAsia="zh-CN"/>
        </w:rPr>
      </w:pPr>
      <w:r>
        <w:rPr>
          <w:rFonts w:hint="eastAsia" w:ascii="仿宋_GB2312" w:hAnsi="仿宋_GB2312" w:eastAsia="仿宋_GB2312" w:cs="仿宋_GB2312"/>
          <w:color w:val="000000"/>
          <w:sz w:val="24"/>
          <w:szCs w:val="24"/>
          <w:highlight w:val="none"/>
          <w:lang w:eastAsia="zh-CN"/>
        </w:rPr>
        <w:t>注：</w:t>
      </w:r>
    </w:p>
    <w:p w14:paraId="16AB44EB">
      <w:pPr>
        <w:spacing w:line="560" w:lineRule="exact"/>
        <w:ind w:firstLine="480" w:firstLineChars="200"/>
        <w:rPr>
          <w:rFonts w:hint="eastAsia" w:ascii="仿宋_GB2312" w:hAnsi="仿宋_GB2312" w:eastAsia="仿宋_GB2312" w:cs="仿宋_GB2312"/>
          <w:color w:val="000000"/>
          <w:sz w:val="24"/>
          <w:szCs w:val="24"/>
          <w:highlight w:val="none"/>
          <w:lang w:eastAsia="zh-CN"/>
        </w:rPr>
      </w:pPr>
      <w:r>
        <w:rPr>
          <w:rFonts w:hint="eastAsia" w:ascii="仿宋_GB2312" w:hAnsi="仿宋_GB2312" w:eastAsia="仿宋_GB2312" w:cs="仿宋_GB2312"/>
          <w:color w:val="000000"/>
          <w:sz w:val="24"/>
          <w:szCs w:val="24"/>
          <w:highlight w:val="none"/>
          <w:lang w:eastAsia="zh-CN"/>
        </w:rPr>
        <w:t>1.占地面积为现场用黄色胶带圈定范围内的面积，即计费面积。</w:t>
      </w:r>
    </w:p>
    <w:p w14:paraId="24AA02DC">
      <w:pPr>
        <w:spacing w:line="560" w:lineRule="exact"/>
        <w:ind w:firstLine="480" w:firstLineChars="200"/>
        <w:rPr>
          <w:rFonts w:hint="eastAsia" w:ascii="仿宋_GB2312" w:hAnsi="仿宋_GB2312" w:eastAsia="仿宋_GB2312" w:cs="仿宋_GB2312"/>
          <w:color w:val="000000"/>
          <w:sz w:val="24"/>
          <w:szCs w:val="24"/>
          <w:highlight w:val="none"/>
          <w:lang w:eastAsia="zh-CN"/>
        </w:rPr>
      </w:pPr>
      <w:r>
        <w:rPr>
          <w:rFonts w:hint="eastAsia" w:ascii="仿宋_GB2312" w:hAnsi="仿宋_GB2312" w:eastAsia="仿宋_GB2312" w:cs="仿宋_GB2312"/>
          <w:color w:val="000000"/>
          <w:sz w:val="24"/>
          <w:szCs w:val="24"/>
          <w:highlight w:val="none"/>
          <w:lang w:eastAsia="zh-CN"/>
        </w:rPr>
        <w:t>2.最终面积以实际交付为准（有异议时，以异议方委托双方均认可的具有相关资质的第三方测绘单位实测数据为准），实测数据与占地面积误差小于等于5%时，按原占地面积计费；实测数据与占地面积误差大于5%时，按实际面积计费。</w:t>
      </w:r>
    </w:p>
    <w:p w14:paraId="2BD8513B">
      <w:pPr>
        <w:spacing w:line="560" w:lineRule="exact"/>
        <w:ind w:firstLine="480" w:firstLineChars="200"/>
        <w:rPr>
          <w:rFonts w:hint="eastAsia" w:ascii="仿宋_GB2312" w:hAnsi="仿宋_GB2312" w:eastAsia="仿宋_GB2312" w:cs="仿宋_GB2312"/>
          <w:color w:val="000000"/>
          <w:sz w:val="24"/>
          <w:szCs w:val="24"/>
          <w:highlight w:val="none"/>
          <w:lang w:eastAsia="zh-CN"/>
        </w:rPr>
      </w:pPr>
      <w:r>
        <w:rPr>
          <w:rFonts w:hint="eastAsia" w:ascii="仿宋_GB2312" w:hAnsi="仿宋_GB2312" w:eastAsia="仿宋_GB2312" w:cs="仿宋_GB2312"/>
          <w:color w:val="000000"/>
          <w:sz w:val="24"/>
          <w:szCs w:val="24"/>
          <w:highlight w:val="none"/>
          <w:lang w:eastAsia="zh-CN"/>
        </w:rPr>
        <w:t>3.供电量以地铁运营公司施工接线后最终确定的用电功率为准。</w:t>
      </w:r>
    </w:p>
    <w:p w14:paraId="0D20F6E4">
      <w:pPr>
        <w:spacing w:line="560" w:lineRule="exact"/>
        <w:ind w:firstLine="560" w:firstLineChars="200"/>
        <w:rPr>
          <w:rFonts w:hint="eastAsia" w:ascii="仿宋_GB2312" w:hAnsi="仿宋_GB2312" w:eastAsia="仿宋_GB2312" w:cs="仿宋_GB2312"/>
          <w:color w:val="000000"/>
          <w:sz w:val="28"/>
          <w:szCs w:val="28"/>
          <w:highlight w:val="none"/>
          <w:lang w:eastAsia="zh-CN"/>
        </w:rPr>
      </w:pPr>
      <w:r>
        <w:rPr>
          <w:rFonts w:hint="eastAsia" w:ascii="仿宋_GB2312" w:hAnsi="仿宋_GB2312" w:eastAsia="仿宋_GB2312" w:cs="仿宋_GB2312"/>
          <w:color w:val="000000"/>
          <w:sz w:val="28"/>
          <w:szCs w:val="28"/>
          <w:highlight w:val="none"/>
          <w:lang w:eastAsia="zh-CN"/>
        </w:rPr>
        <w:t>（二）现状</w:t>
      </w:r>
    </w:p>
    <w:p w14:paraId="14C66C64">
      <w:pPr>
        <w:rPr>
          <w:rFonts w:hint="eastAsia" w:ascii="仿宋_GB2312" w:hAnsi="仿宋_GB2312" w:eastAsia="仿宋_GB2312" w:cs="仿宋_GB2312"/>
          <w:color w:val="000000"/>
          <w:sz w:val="28"/>
          <w:szCs w:val="28"/>
          <w:highlight w:val="none"/>
          <w:lang w:eastAsia="zh-CN"/>
        </w:rPr>
      </w:pPr>
      <w:r>
        <w:rPr>
          <w:rFonts w:hint="eastAsia" w:ascii="仿宋_GB2312" w:hAnsi="仿宋_GB2312" w:eastAsia="仿宋_GB2312" w:cs="仿宋_GB2312"/>
          <w:color w:val="000000"/>
          <w:sz w:val="28"/>
          <w:szCs w:val="28"/>
          <w:highlight w:val="none"/>
          <w:lang w:eastAsia="zh-CN"/>
        </w:rPr>
        <w:t>便民服务产业按现状移交，并在对应点位已用黄色胶带圈定使用区域。供电由甲方根据站厅实际情况统一实施，没有给排水。</w:t>
      </w:r>
    </w:p>
    <w:p w14:paraId="5074A1AB">
      <w:pPr>
        <w:tabs>
          <w:tab w:val="left" w:pos="900"/>
        </w:tabs>
        <w:spacing w:line="560" w:lineRule="atLeast"/>
        <w:ind w:firstLine="560" w:firstLineChars="200"/>
        <w:rPr>
          <w:rFonts w:ascii="黑体" w:hAnsi="黑体" w:eastAsia="黑体" w:cs="黑体"/>
          <w:bCs/>
          <w:color w:val="000000"/>
          <w:kern w:val="0"/>
          <w:sz w:val="28"/>
          <w:szCs w:val="28"/>
          <w:highlight w:val="none"/>
        </w:rPr>
      </w:pPr>
      <w:r>
        <w:rPr>
          <w:rFonts w:hint="eastAsia" w:ascii="黑体" w:hAnsi="黑体" w:eastAsia="黑体" w:cs="黑体"/>
          <w:bCs/>
          <w:color w:val="000000"/>
          <w:kern w:val="0"/>
          <w:sz w:val="28"/>
          <w:szCs w:val="28"/>
          <w:highlight w:val="none"/>
        </w:rPr>
        <w:t>交付约定</w:t>
      </w:r>
    </w:p>
    <w:p w14:paraId="4D9B3E13">
      <w:pPr>
        <w:spacing w:line="56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lang w:val="en-US" w:eastAsia="zh-CN"/>
        </w:rPr>
        <w:t>一</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rPr>
        <w:t>甲方按</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rPr>
        <w:t>现状交付</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rPr>
        <w:t>原则移交便民服务产业，乙方确认已对标的物完成现场勘查并接受现状。</w:t>
      </w:r>
    </w:p>
    <w:p w14:paraId="30983B24">
      <w:pPr>
        <w:spacing w:line="56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lang w:val="en-US" w:eastAsia="zh-CN"/>
        </w:rPr>
        <w:t>二</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rPr>
        <w:t>具备移交条件时，甲方向乙方发出交付通知书，双方按照交付通知书载明的时间和地点办理交付手续，自交付之日开始计算经营准备期；如因特殊情况导致无法交付，则由双方另行协商交付时间。</w:t>
      </w:r>
    </w:p>
    <w:p w14:paraId="43AC4976">
      <w:pPr>
        <w:spacing w:line="56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lang w:val="en-US" w:eastAsia="zh-CN"/>
        </w:rPr>
        <w:t>三</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rPr>
        <w:t>如乙方不按要求办理交付手续，交付之日以交付通知书载明的时间为准；自交付通知书载明的交付时间起30日，乙方仍未与甲方完善交付手续的，双方</w:t>
      </w:r>
      <w:r>
        <w:rPr>
          <w:rFonts w:hint="eastAsia" w:ascii="仿宋_GB2312" w:hAnsi="仿宋_GB2312" w:eastAsia="仿宋_GB2312" w:cs="仿宋_GB2312"/>
          <w:color w:val="000000"/>
          <w:sz w:val="28"/>
          <w:szCs w:val="28"/>
          <w:highlight w:val="none"/>
          <w:lang w:eastAsia="zh-CN"/>
        </w:rPr>
        <w:t>经营</w:t>
      </w:r>
      <w:r>
        <w:rPr>
          <w:rFonts w:hint="eastAsia" w:ascii="仿宋_GB2312" w:hAnsi="仿宋_GB2312" w:eastAsia="仿宋_GB2312" w:cs="仿宋_GB2312"/>
          <w:color w:val="000000"/>
          <w:sz w:val="28"/>
          <w:szCs w:val="28"/>
          <w:highlight w:val="none"/>
        </w:rPr>
        <w:t>合同自动解除且不退还已缴纳的履约保证金。</w:t>
      </w:r>
    </w:p>
    <w:p w14:paraId="5C360B7C">
      <w:pPr>
        <w:tabs>
          <w:tab w:val="left" w:pos="900"/>
        </w:tabs>
        <w:spacing w:line="560" w:lineRule="atLeast"/>
        <w:ind w:firstLine="560" w:firstLineChars="200"/>
        <w:rPr>
          <w:rFonts w:ascii="黑体" w:hAnsi="黑体" w:eastAsia="黑体" w:cs="黑体"/>
          <w:bCs/>
          <w:color w:val="000000"/>
          <w:kern w:val="0"/>
          <w:sz w:val="28"/>
          <w:szCs w:val="28"/>
          <w:highlight w:val="none"/>
        </w:rPr>
      </w:pPr>
      <w:r>
        <w:rPr>
          <w:rFonts w:hint="eastAsia" w:ascii="黑体" w:hAnsi="黑体" w:eastAsia="黑体" w:cs="黑体"/>
          <w:bCs/>
          <w:color w:val="000000"/>
          <w:kern w:val="0"/>
          <w:sz w:val="28"/>
          <w:szCs w:val="28"/>
          <w:highlight w:val="none"/>
        </w:rPr>
        <w:t>电费的计算和收取</w:t>
      </w:r>
    </w:p>
    <w:p w14:paraId="07334E2B">
      <w:pPr>
        <w:spacing w:line="56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自交付之日起，便民服务产业（包括经营范围及其相关管理范围）所产生的电费由乙方承担。电费由甲方代收代缴，并向甲方以现金或转账的方式缴纳电费保证金（1000.00元）后，甲方向乙方提供经营</w:t>
      </w:r>
      <w:bookmarkStart w:id="0" w:name="_GoBack"/>
      <w:bookmarkEnd w:id="0"/>
      <w:r>
        <w:rPr>
          <w:rFonts w:hint="eastAsia" w:ascii="仿宋_GB2312" w:hAnsi="仿宋_GB2312" w:eastAsia="仿宋_GB2312" w:cs="仿宋_GB2312"/>
          <w:color w:val="000000"/>
          <w:sz w:val="28"/>
          <w:szCs w:val="28"/>
          <w:highlight w:val="none"/>
        </w:rPr>
        <w:t>用电。</w:t>
      </w:r>
    </w:p>
    <w:p w14:paraId="11F1FA3D">
      <w:pPr>
        <w:spacing w:line="560" w:lineRule="exact"/>
        <w:ind w:firstLine="560" w:firstLineChars="200"/>
        <w:rPr>
          <w:rFonts w:ascii="仿宋_GB2312" w:hAnsi="仿宋_GB2312" w:eastAsia="仿宋_GB2312" w:cs="仿宋_GB2312"/>
          <w:color w:val="000000"/>
          <w:sz w:val="28"/>
          <w:szCs w:val="28"/>
          <w:highlight w:val="none"/>
        </w:rPr>
      </w:pPr>
      <w:r>
        <w:rPr>
          <w:rFonts w:hint="eastAsia" w:ascii="黑体" w:hAnsi="黑体" w:eastAsia="黑体" w:cs="黑体"/>
          <w:color w:val="000000"/>
          <w:sz w:val="28"/>
          <w:szCs w:val="28"/>
          <w:highlight w:val="none"/>
        </w:rPr>
        <w:t>重要合同条款</w:t>
      </w:r>
      <w:r>
        <w:rPr>
          <w:rFonts w:hint="eastAsia" w:ascii="仿宋_GB2312" w:hAnsi="仿宋_GB2312" w:eastAsia="仿宋_GB2312" w:cs="仿宋_GB2312"/>
          <w:color w:val="000000"/>
          <w:sz w:val="28"/>
          <w:szCs w:val="28"/>
          <w:highlight w:val="none"/>
        </w:rPr>
        <w:t xml:space="preserve"> </w:t>
      </w:r>
    </w:p>
    <w:p w14:paraId="3F6048DD">
      <w:pPr>
        <w:spacing w:line="56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（一）轨道交通运营优先</w:t>
      </w:r>
    </w:p>
    <w:p w14:paraId="0E5E1AA5">
      <w:pPr>
        <w:spacing w:line="56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1</w:t>
      </w:r>
      <w:r>
        <w:rPr>
          <w:rFonts w:hint="eastAsia" w:ascii="仿宋_GB2312" w:hAnsi="仿宋_GB2312" w:eastAsia="仿宋_GB2312" w:cs="仿宋_GB2312"/>
          <w:color w:val="000000"/>
          <w:sz w:val="28"/>
          <w:szCs w:val="28"/>
          <w:highlight w:val="none"/>
          <w:lang w:val="en-US" w:eastAsia="zh-CN"/>
        </w:rPr>
        <w:t>.</w:t>
      </w:r>
      <w:r>
        <w:rPr>
          <w:rFonts w:hint="eastAsia" w:ascii="仿宋_GB2312" w:hAnsi="仿宋_GB2312" w:eastAsia="仿宋_GB2312" w:cs="仿宋_GB2312"/>
          <w:color w:val="000000"/>
          <w:sz w:val="28"/>
          <w:szCs w:val="28"/>
          <w:highlight w:val="none"/>
        </w:rPr>
        <w:t>乙方明确知晓并同意在实施</w:t>
      </w:r>
      <w:r>
        <w:rPr>
          <w:rFonts w:hint="eastAsia" w:ascii="仿宋_GB2312" w:hAnsi="仿宋_GB2312" w:eastAsia="仿宋_GB2312" w:cs="仿宋_GB2312"/>
          <w:color w:val="000000"/>
          <w:sz w:val="28"/>
          <w:szCs w:val="28"/>
          <w:highlight w:val="none"/>
          <w:lang w:eastAsia="zh-CN"/>
        </w:rPr>
        <w:t>经营</w:t>
      </w:r>
      <w:r>
        <w:rPr>
          <w:rFonts w:hint="eastAsia" w:ascii="仿宋_GB2312" w:hAnsi="仿宋_GB2312" w:eastAsia="仿宋_GB2312" w:cs="仿宋_GB2312"/>
          <w:color w:val="000000"/>
          <w:sz w:val="28"/>
          <w:szCs w:val="28"/>
          <w:highlight w:val="none"/>
        </w:rPr>
        <w:t>合同项下的任何条款时优先考虑轨道交通运营的安全高效。如政府政策变化或地铁建设、运营需要时，甲方拥有要求乙方永久或临时中止便民服务产业经营行为、调整经营范围的权利，乙方应无条件服从并给予积极配合。</w:t>
      </w:r>
    </w:p>
    <w:p w14:paraId="6F28FB4B">
      <w:pPr>
        <w:spacing w:line="56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2</w:t>
      </w:r>
      <w:r>
        <w:rPr>
          <w:rFonts w:hint="eastAsia" w:ascii="仿宋_GB2312" w:hAnsi="仿宋_GB2312" w:eastAsia="仿宋_GB2312" w:cs="仿宋_GB2312"/>
          <w:color w:val="000000"/>
          <w:sz w:val="28"/>
          <w:szCs w:val="28"/>
          <w:highlight w:val="none"/>
          <w:lang w:val="en-US" w:eastAsia="zh-CN"/>
        </w:rPr>
        <w:t>.</w:t>
      </w:r>
      <w:r>
        <w:rPr>
          <w:rFonts w:hint="eastAsia" w:ascii="仿宋_GB2312" w:hAnsi="仿宋_GB2312" w:eastAsia="仿宋_GB2312" w:cs="仿宋_GB2312"/>
          <w:color w:val="000000"/>
          <w:sz w:val="28"/>
          <w:szCs w:val="28"/>
          <w:highlight w:val="none"/>
        </w:rPr>
        <w:t>乙方明确知晓并同意便民服务产业的经营须配合轨道交通运营客运服务，应避免与经营线路内的系统产生冲突、干扰或不产生噪音、气味等可能影响乘客体验的消极影响，并按甲方提出的合理要求进行及时、积极、高效解决。</w:t>
      </w:r>
    </w:p>
    <w:p w14:paraId="08634BE9">
      <w:pPr>
        <w:spacing w:line="56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3</w:t>
      </w:r>
      <w:r>
        <w:rPr>
          <w:rFonts w:hint="eastAsia" w:ascii="仿宋_GB2312" w:hAnsi="仿宋_GB2312" w:eastAsia="仿宋_GB2312" w:cs="仿宋_GB2312"/>
          <w:color w:val="000000"/>
          <w:sz w:val="28"/>
          <w:szCs w:val="28"/>
          <w:highlight w:val="none"/>
          <w:lang w:val="en-US" w:eastAsia="zh-CN"/>
        </w:rPr>
        <w:t>.</w:t>
      </w:r>
      <w:r>
        <w:rPr>
          <w:rFonts w:hint="eastAsia" w:ascii="仿宋_GB2312" w:hAnsi="仿宋_GB2312" w:eastAsia="仿宋_GB2312" w:cs="仿宋_GB2312"/>
          <w:color w:val="000000"/>
          <w:sz w:val="28"/>
          <w:szCs w:val="28"/>
          <w:highlight w:val="none"/>
        </w:rPr>
        <w:t>乙方明确知晓并同意鉴于地铁的特殊性和公益性，甲方有权根据实际情况对经营线路开展必要的检查、维护、修复、建设、应急疏散、演习、甚至中断经营线路或车站运营，因此给乙方的经营带来影响时，乙方不得据此向甲方提出经营管理费调整、延长经营或其他赔偿诉求。</w:t>
      </w:r>
    </w:p>
    <w:p w14:paraId="5AF362B1">
      <w:pPr>
        <w:spacing w:line="56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4</w:t>
      </w:r>
      <w:r>
        <w:rPr>
          <w:rFonts w:hint="eastAsia" w:ascii="仿宋_GB2312" w:hAnsi="仿宋_GB2312" w:eastAsia="仿宋_GB2312" w:cs="仿宋_GB2312"/>
          <w:color w:val="000000"/>
          <w:sz w:val="28"/>
          <w:szCs w:val="28"/>
          <w:highlight w:val="none"/>
          <w:lang w:val="en-US" w:eastAsia="zh-CN"/>
        </w:rPr>
        <w:t>.</w:t>
      </w:r>
      <w:r>
        <w:rPr>
          <w:rFonts w:hint="eastAsia" w:ascii="仿宋_GB2312" w:hAnsi="仿宋_GB2312" w:eastAsia="仿宋_GB2312" w:cs="仿宋_GB2312"/>
          <w:color w:val="000000"/>
          <w:sz w:val="28"/>
          <w:szCs w:val="28"/>
          <w:highlight w:val="none"/>
        </w:rPr>
        <w:t>鉴于便民服务产业是轨道交通车站的一部分，乙方应在便民服务产业按照相关法律法规和规范要求配备消防等各类安全设施设备，对现场安全生产、消防安全、食品安全、治安保卫、信访维稳和信息发布安全负责，并按轨道公安要求安装监控或其他安保设备。</w:t>
      </w:r>
    </w:p>
    <w:p w14:paraId="5099EC3C">
      <w:pPr>
        <w:spacing w:line="56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（二）安全生产管理职责</w:t>
      </w:r>
    </w:p>
    <w:p w14:paraId="4A3DEA68">
      <w:pPr>
        <w:spacing w:line="56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1</w:t>
      </w:r>
      <w:r>
        <w:rPr>
          <w:rFonts w:hint="eastAsia" w:ascii="仿宋_GB2312" w:hAnsi="仿宋_GB2312" w:eastAsia="仿宋_GB2312" w:cs="仿宋_GB2312"/>
          <w:color w:val="000000"/>
          <w:sz w:val="28"/>
          <w:szCs w:val="28"/>
          <w:highlight w:val="none"/>
          <w:lang w:val="en-US" w:eastAsia="zh-CN"/>
        </w:rPr>
        <w:t>.</w:t>
      </w:r>
      <w:r>
        <w:rPr>
          <w:rFonts w:hint="eastAsia" w:ascii="仿宋_GB2312" w:hAnsi="仿宋_GB2312" w:eastAsia="仿宋_GB2312" w:cs="仿宋_GB2312"/>
          <w:color w:val="000000"/>
          <w:sz w:val="28"/>
          <w:szCs w:val="28"/>
          <w:highlight w:val="none"/>
        </w:rPr>
        <w:t>自移交之日，便民服务产业内的安全生产、消防安全、治安保卫、食品安全、信访维稳和信息发布安全的管理责任由乙方全权承担；乙方按照相关规定做好便民服务产业内的安全生产工作并承担相应费用和责任。</w:t>
      </w:r>
    </w:p>
    <w:p w14:paraId="7D88178D">
      <w:pPr>
        <w:spacing w:line="56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2</w:t>
      </w:r>
      <w:r>
        <w:rPr>
          <w:rFonts w:hint="eastAsia" w:ascii="仿宋_GB2312" w:hAnsi="仿宋_GB2312" w:eastAsia="仿宋_GB2312" w:cs="仿宋_GB2312"/>
          <w:color w:val="000000"/>
          <w:sz w:val="28"/>
          <w:szCs w:val="28"/>
          <w:highlight w:val="none"/>
          <w:lang w:val="en-US" w:eastAsia="zh-CN"/>
        </w:rPr>
        <w:t>.</w:t>
      </w:r>
      <w:r>
        <w:rPr>
          <w:rFonts w:hint="eastAsia" w:ascii="仿宋_GB2312" w:hAnsi="仿宋_GB2312" w:eastAsia="仿宋_GB2312" w:cs="仿宋_GB2312"/>
          <w:color w:val="000000"/>
          <w:sz w:val="28"/>
          <w:szCs w:val="28"/>
          <w:highlight w:val="none"/>
        </w:rPr>
        <w:t>甲方有权对乙方各类安全工作进行检查，对存在的问题和隐患，有权制止，并要求进行整改，并可对乙方进行处罚。对不按要求整改或拒不接受处罚的，甲方有权责令乙方停业整顿（停业期间甲方有权停水、停电，停水、停电所造成的一切损失及后果由乙方自行承担。）并按照</w:t>
      </w:r>
      <w:r>
        <w:rPr>
          <w:rFonts w:hint="eastAsia" w:ascii="仿宋_GB2312" w:hAnsi="仿宋_GB2312" w:eastAsia="仿宋_GB2312" w:cs="仿宋_GB2312"/>
          <w:color w:val="000000"/>
          <w:sz w:val="28"/>
          <w:szCs w:val="28"/>
          <w:highlight w:val="none"/>
          <w:lang w:eastAsia="zh-CN"/>
        </w:rPr>
        <w:t>经营</w:t>
      </w:r>
      <w:r>
        <w:rPr>
          <w:rFonts w:hint="eastAsia" w:ascii="仿宋_GB2312" w:hAnsi="仿宋_GB2312" w:eastAsia="仿宋_GB2312" w:cs="仿宋_GB2312"/>
          <w:color w:val="000000"/>
          <w:sz w:val="28"/>
          <w:szCs w:val="28"/>
          <w:highlight w:val="none"/>
        </w:rPr>
        <w:t>合同约定追究乙方的违约责任，并向有关部门报告；凡发生事故的，甲方可按其造成的后果及影响，追究乙方的违约责任。</w:t>
      </w:r>
    </w:p>
    <w:p w14:paraId="15ACE6A5">
      <w:pPr>
        <w:spacing w:line="56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3</w:t>
      </w:r>
      <w:r>
        <w:rPr>
          <w:rFonts w:hint="eastAsia" w:ascii="仿宋_GB2312" w:hAnsi="仿宋_GB2312" w:eastAsia="仿宋_GB2312" w:cs="仿宋_GB2312"/>
          <w:color w:val="000000"/>
          <w:sz w:val="28"/>
          <w:szCs w:val="28"/>
          <w:highlight w:val="none"/>
          <w:lang w:val="en-US" w:eastAsia="zh-CN"/>
        </w:rPr>
        <w:t>.</w:t>
      </w:r>
      <w:r>
        <w:rPr>
          <w:rFonts w:hint="eastAsia" w:ascii="仿宋_GB2312" w:hAnsi="仿宋_GB2312" w:eastAsia="仿宋_GB2312" w:cs="仿宋_GB2312"/>
          <w:color w:val="000000"/>
          <w:sz w:val="28"/>
          <w:szCs w:val="28"/>
          <w:highlight w:val="none"/>
        </w:rPr>
        <w:t>为维护地铁运营环境及地铁运营安全，甲方有权对乙方影响运营安全和不符合运营管理要求的行为进行处罚，对不按要求整改或拒不接受处罚的，甲方有权责令乙方停业整顿（停业期间甲方有权停水、停电，因此所造成的一切损失及后果由乙方自行承担），按照</w:t>
      </w:r>
      <w:r>
        <w:rPr>
          <w:rFonts w:hint="eastAsia" w:ascii="仿宋_GB2312" w:hAnsi="仿宋_GB2312" w:eastAsia="仿宋_GB2312" w:cs="仿宋_GB2312"/>
          <w:color w:val="000000"/>
          <w:sz w:val="28"/>
          <w:szCs w:val="28"/>
          <w:highlight w:val="none"/>
          <w:lang w:eastAsia="zh-CN"/>
        </w:rPr>
        <w:t>经营</w:t>
      </w:r>
      <w:r>
        <w:rPr>
          <w:rFonts w:hint="eastAsia" w:ascii="仿宋_GB2312" w:hAnsi="仿宋_GB2312" w:eastAsia="仿宋_GB2312" w:cs="仿宋_GB2312"/>
          <w:color w:val="000000"/>
          <w:sz w:val="28"/>
          <w:szCs w:val="28"/>
          <w:highlight w:val="none"/>
        </w:rPr>
        <w:t>合同约定追究乙方的违约责任；凡发生事故的，甲方可按其造成的后果及影响，追究乙方的违约责任，并向相关部门报告。</w:t>
      </w:r>
    </w:p>
    <w:p w14:paraId="54C91074">
      <w:pPr>
        <w:spacing w:line="56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4</w:t>
      </w:r>
      <w:r>
        <w:rPr>
          <w:rFonts w:hint="eastAsia" w:ascii="仿宋_GB2312" w:hAnsi="仿宋_GB2312" w:eastAsia="仿宋_GB2312" w:cs="仿宋_GB2312"/>
          <w:color w:val="000000"/>
          <w:sz w:val="28"/>
          <w:szCs w:val="28"/>
          <w:highlight w:val="none"/>
          <w:lang w:val="en-US" w:eastAsia="zh-CN"/>
        </w:rPr>
        <w:t>.</w:t>
      </w:r>
      <w:r>
        <w:rPr>
          <w:rFonts w:hint="eastAsia" w:ascii="仿宋_GB2312" w:hAnsi="仿宋_GB2312" w:eastAsia="仿宋_GB2312" w:cs="仿宋_GB2312"/>
          <w:color w:val="000000"/>
          <w:sz w:val="28"/>
          <w:szCs w:val="28"/>
          <w:highlight w:val="none"/>
        </w:rPr>
        <w:t>乙方应当具备《中华人民共和国安全生产法》和有关法律、行政法规和国家标准或者行业标准规定的安全生产条件。</w:t>
      </w:r>
    </w:p>
    <w:p w14:paraId="324EB4E3">
      <w:pPr>
        <w:spacing w:line="56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5</w:t>
      </w:r>
      <w:r>
        <w:rPr>
          <w:rFonts w:hint="eastAsia" w:ascii="仿宋_GB2312" w:hAnsi="仿宋_GB2312" w:eastAsia="仿宋_GB2312" w:cs="仿宋_GB2312"/>
          <w:color w:val="000000"/>
          <w:sz w:val="28"/>
          <w:szCs w:val="28"/>
          <w:highlight w:val="none"/>
          <w:lang w:val="en-US" w:eastAsia="zh-CN"/>
        </w:rPr>
        <w:t>.</w:t>
      </w:r>
      <w:r>
        <w:rPr>
          <w:rFonts w:hint="eastAsia" w:ascii="仿宋_GB2312" w:hAnsi="仿宋_GB2312" w:eastAsia="仿宋_GB2312" w:cs="仿宋_GB2312"/>
          <w:color w:val="000000"/>
          <w:sz w:val="28"/>
          <w:szCs w:val="28"/>
          <w:highlight w:val="none"/>
        </w:rPr>
        <w:t>乙方应严格遵守《中华人民共和国安全生产法》《中华人民共和国消防法》《中华人民共和国食品安全法》《</w:t>
      </w:r>
      <w:r>
        <w:rPr>
          <w:rFonts w:hint="eastAsia" w:ascii="仿宋_GB2312" w:hAnsi="仿宋_GB2312" w:eastAsia="仿宋_GB2312" w:cs="仿宋_GB2312"/>
          <w:color w:val="000000"/>
          <w:sz w:val="28"/>
          <w:szCs w:val="28"/>
          <w:highlight w:val="none"/>
        </w:rPr>
        <w:fldChar w:fldCharType="begin"/>
      </w:r>
      <w:r>
        <w:rPr>
          <w:rFonts w:hint="eastAsia" w:ascii="仿宋_GB2312" w:hAnsi="仿宋_GB2312" w:eastAsia="仿宋_GB2312" w:cs="仿宋_GB2312"/>
          <w:color w:val="000000"/>
          <w:sz w:val="28"/>
          <w:szCs w:val="28"/>
          <w:highlight w:val="none"/>
        </w:rPr>
        <w:instrText xml:space="preserve"> HYPERLINK "https://baike.baidu.com/item/%E4%B8%AD%E5%8D%8E%E4%BA%BA%E6%B0%91%E5%85%B1%E5%92%8C%E5%9B%BD%E6%B2%BB%E5%AE%89%E7%AE%A1%E7%90%86%E5%A4%84%E7%BD%9A%E6%B3%95/0?fromModule=lemma_inlink" \t "https://baike.baidu.com/item/%E4%B8%AD%E5%8D%8E%E4%BA%BA%E6%B0%91%E5%85%B1%E5%92%8C%E5%9B%BD%E6%B2%BB%E5%AE%89%E7%AE%A1%E7%90%86%E5%A4%84%E7%BD%9A%E6%9D%A1%E4%BE%8B/_blank" </w:instrText>
      </w:r>
      <w:r>
        <w:rPr>
          <w:rFonts w:hint="eastAsia" w:ascii="仿宋_GB2312" w:hAnsi="仿宋_GB2312" w:eastAsia="仿宋_GB2312" w:cs="仿宋_GB2312"/>
          <w:color w:val="000000"/>
          <w:sz w:val="28"/>
          <w:szCs w:val="28"/>
          <w:highlight w:val="none"/>
        </w:rPr>
        <w:fldChar w:fldCharType="separate"/>
      </w:r>
      <w:r>
        <w:rPr>
          <w:rFonts w:hint="eastAsia" w:ascii="仿宋_GB2312" w:hAnsi="仿宋_GB2312" w:eastAsia="仿宋_GB2312" w:cs="仿宋_GB2312"/>
          <w:color w:val="000000"/>
          <w:sz w:val="28"/>
          <w:szCs w:val="28"/>
          <w:highlight w:val="none"/>
        </w:rPr>
        <w:t>中华人民共和国治安管理处罚法</w:t>
      </w:r>
      <w:r>
        <w:rPr>
          <w:rFonts w:hint="eastAsia" w:ascii="仿宋_GB2312" w:hAnsi="仿宋_GB2312" w:eastAsia="仿宋_GB2312" w:cs="仿宋_GB2312"/>
          <w:color w:val="000000"/>
          <w:sz w:val="28"/>
          <w:szCs w:val="28"/>
          <w:highlight w:val="none"/>
        </w:rPr>
        <w:fldChar w:fldCharType="end"/>
      </w:r>
      <w:r>
        <w:rPr>
          <w:rFonts w:hint="eastAsia" w:ascii="仿宋_GB2312" w:hAnsi="仿宋_GB2312" w:eastAsia="仿宋_GB2312" w:cs="仿宋_GB2312"/>
          <w:color w:val="000000"/>
          <w:sz w:val="28"/>
          <w:szCs w:val="28"/>
          <w:highlight w:val="none"/>
        </w:rPr>
        <w:t>》等国家和地方相关法律、法规和标准以及轨道交通经营（运营）单位各项安全生产管理制度，并在安全管理工作方面接受甲方的监督。</w:t>
      </w:r>
    </w:p>
    <w:p w14:paraId="1FA67C56">
      <w:pPr>
        <w:spacing w:line="56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6</w:t>
      </w:r>
      <w:r>
        <w:rPr>
          <w:rFonts w:hint="eastAsia" w:ascii="仿宋_GB2312" w:hAnsi="仿宋_GB2312" w:eastAsia="仿宋_GB2312" w:cs="仿宋_GB2312"/>
          <w:color w:val="000000"/>
          <w:sz w:val="28"/>
          <w:szCs w:val="28"/>
          <w:highlight w:val="none"/>
          <w:lang w:val="en-US" w:eastAsia="zh-CN"/>
        </w:rPr>
        <w:t>.</w:t>
      </w:r>
      <w:r>
        <w:rPr>
          <w:rFonts w:hint="eastAsia" w:ascii="仿宋_GB2312" w:hAnsi="仿宋_GB2312" w:eastAsia="仿宋_GB2312" w:cs="仿宋_GB2312"/>
          <w:color w:val="000000"/>
          <w:sz w:val="28"/>
          <w:szCs w:val="28"/>
          <w:highlight w:val="none"/>
        </w:rPr>
        <w:t>乙方应根据相关法律法规，建立健全并落实安全生产责任制度、各项安全生产规章制度和操作规程，成立安全生产和消防安全管理机构，明确专职或兼职安全生产和消防安全管理人员。相关人员应熟知国家安全生产法律法规，并具有生产经营活动的安全生产作业知识、食品安全知识和安全生产管理能力。从业人员资格条件应符合国家相关规定，并取得行业主管及相关部门颁发的从业资格证书，持证上岗。</w:t>
      </w:r>
    </w:p>
    <w:p w14:paraId="06EC68C7">
      <w:pPr>
        <w:spacing w:line="56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7</w:t>
      </w:r>
      <w:r>
        <w:rPr>
          <w:rFonts w:hint="eastAsia" w:ascii="仿宋_GB2312" w:hAnsi="仿宋_GB2312" w:eastAsia="仿宋_GB2312" w:cs="仿宋_GB2312"/>
          <w:color w:val="000000"/>
          <w:sz w:val="28"/>
          <w:szCs w:val="28"/>
          <w:highlight w:val="none"/>
          <w:lang w:val="en-US" w:eastAsia="zh-CN"/>
        </w:rPr>
        <w:t>.</w:t>
      </w:r>
      <w:r>
        <w:rPr>
          <w:rFonts w:hint="eastAsia" w:ascii="仿宋_GB2312" w:hAnsi="仿宋_GB2312" w:eastAsia="仿宋_GB2312" w:cs="仿宋_GB2312"/>
          <w:color w:val="000000"/>
          <w:sz w:val="28"/>
          <w:szCs w:val="28"/>
          <w:highlight w:val="none"/>
        </w:rPr>
        <w:t>乙方应对从业人员进行安全生产、消防安全、食品安全、治安保卫等安全教育培训。</w:t>
      </w:r>
    </w:p>
    <w:p w14:paraId="5EE421C7">
      <w:pPr>
        <w:spacing w:line="56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8</w:t>
      </w:r>
      <w:r>
        <w:rPr>
          <w:rFonts w:hint="eastAsia" w:ascii="仿宋_GB2312" w:hAnsi="仿宋_GB2312" w:eastAsia="仿宋_GB2312" w:cs="仿宋_GB2312"/>
          <w:color w:val="000000"/>
          <w:sz w:val="28"/>
          <w:szCs w:val="28"/>
          <w:highlight w:val="none"/>
          <w:lang w:val="en-US" w:eastAsia="zh-CN"/>
        </w:rPr>
        <w:t>.</w:t>
      </w:r>
      <w:r>
        <w:rPr>
          <w:rFonts w:hint="eastAsia" w:ascii="仿宋_GB2312" w:hAnsi="仿宋_GB2312" w:eastAsia="仿宋_GB2312" w:cs="仿宋_GB2312"/>
          <w:color w:val="000000"/>
          <w:sz w:val="28"/>
          <w:szCs w:val="28"/>
          <w:highlight w:val="none"/>
        </w:rPr>
        <w:t>乙方应对安全生产状况开展经常性检查，对检查中发现的问题立即处理，相关检查和整改情况须如实记录在案。</w:t>
      </w:r>
    </w:p>
    <w:p w14:paraId="001EAA12">
      <w:pPr>
        <w:spacing w:line="56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9</w:t>
      </w:r>
      <w:r>
        <w:rPr>
          <w:rFonts w:hint="eastAsia" w:ascii="仿宋_GB2312" w:hAnsi="仿宋_GB2312" w:eastAsia="仿宋_GB2312" w:cs="仿宋_GB2312"/>
          <w:color w:val="000000"/>
          <w:sz w:val="28"/>
          <w:szCs w:val="28"/>
          <w:highlight w:val="none"/>
          <w:lang w:val="en-US" w:eastAsia="zh-CN"/>
        </w:rPr>
        <w:t>.</w:t>
      </w:r>
      <w:r>
        <w:rPr>
          <w:rFonts w:hint="eastAsia" w:ascii="仿宋_GB2312" w:hAnsi="仿宋_GB2312" w:eastAsia="仿宋_GB2312" w:cs="仿宋_GB2312"/>
          <w:color w:val="000000"/>
          <w:sz w:val="28"/>
          <w:szCs w:val="28"/>
          <w:highlight w:val="none"/>
        </w:rPr>
        <w:t>乙方对甲方和地铁运营单位发出的安全生产、消防安全、食品安全、治安保卫、环境卫生等安全工作的相关要求须配合完成。</w:t>
      </w:r>
    </w:p>
    <w:p w14:paraId="59D73978">
      <w:pPr>
        <w:spacing w:line="56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10</w:t>
      </w:r>
      <w:r>
        <w:rPr>
          <w:rFonts w:hint="eastAsia" w:ascii="仿宋_GB2312" w:hAnsi="仿宋_GB2312" w:eastAsia="仿宋_GB2312" w:cs="仿宋_GB2312"/>
          <w:color w:val="000000"/>
          <w:sz w:val="28"/>
          <w:szCs w:val="28"/>
          <w:highlight w:val="none"/>
          <w:lang w:val="en-US" w:eastAsia="zh-CN"/>
        </w:rPr>
        <w:t>.</w:t>
      </w:r>
      <w:r>
        <w:rPr>
          <w:rFonts w:hint="eastAsia" w:ascii="仿宋_GB2312" w:hAnsi="仿宋_GB2312" w:eastAsia="仿宋_GB2312" w:cs="仿宋_GB2312"/>
          <w:color w:val="000000"/>
          <w:sz w:val="28"/>
          <w:szCs w:val="28"/>
          <w:highlight w:val="none"/>
        </w:rPr>
        <w:t>结合所经营项目的实际情况，配齐应急设施设备，并参加地铁经营单位组织的演练。严格执行安全联络机制和事故报送制度，通报安全情况和共享安全信息。发生突发事件立即组织进行紧急处置避免事态扩大，并按有关法律、法规和强制性标准的要求上报，并通知甲方；甲方有权向有关政府部门报告，但不替代乙方的上报。</w:t>
      </w:r>
    </w:p>
    <w:p w14:paraId="161256DE">
      <w:pPr>
        <w:spacing w:line="56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11</w:t>
      </w:r>
      <w:r>
        <w:rPr>
          <w:rFonts w:hint="eastAsia" w:ascii="仿宋_GB2312" w:hAnsi="仿宋_GB2312" w:eastAsia="仿宋_GB2312" w:cs="仿宋_GB2312"/>
          <w:color w:val="000000"/>
          <w:sz w:val="28"/>
          <w:szCs w:val="28"/>
          <w:highlight w:val="none"/>
          <w:lang w:val="en-US" w:eastAsia="zh-CN"/>
        </w:rPr>
        <w:t>.</w:t>
      </w:r>
      <w:r>
        <w:rPr>
          <w:rFonts w:hint="eastAsia" w:ascii="仿宋_GB2312" w:hAnsi="仿宋_GB2312" w:eastAsia="仿宋_GB2312" w:cs="仿宋_GB2312"/>
          <w:color w:val="000000"/>
          <w:sz w:val="28"/>
          <w:szCs w:val="28"/>
          <w:highlight w:val="none"/>
        </w:rPr>
        <w:t>乙方须自行及时办理经营所需的工商登记、税务登记、食品卫生等经营所需的证照或手续，严格执行政府职能部门有关商品质量、物价、安全、消防、卫生、环保等方面的政策、法律和法规。</w:t>
      </w:r>
    </w:p>
    <w:p w14:paraId="49973516">
      <w:pPr>
        <w:spacing w:line="56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12</w:t>
      </w:r>
      <w:r>
        <w:rPr>
          <w:rFonts w:hint="eastAsia" w:ascii="仿宋_GB2312" w:hAnsi="仿宋_GB2312" w:eastAsia="仿宋_GB2312" w:cs="仿宋_GB2312"/>
          <w:color w:val="000000"/>
          <w:sz w:val="28"/>
          <w:szCs w:val="28"/>
          <w:highlight w:val="none"/>
          <w:lang w:val="en-US" w:eastAsia="zh-CN"/>
        </w:rPr>
        <w:t>.</w:t>
      </w:r>
      <w:r>
        <w:rPr>
          <w:rFonts w:hint="eastAsia" w:ascii="仿宋_GB2312" w:hAnsi="仿宋_GB2312" w:eastAsia="仿宋_GB2312" w:cs="仿宋_GB2312"/>
          <w:color w:val="000000"/>
          <w:sz w:val="28"/>
          <w:szCs w:val="28"/>
          <w:highlight w:val="none"/>
        </w:rPr>
        <w:t>贯彻落实国家、省委省政府、市委市政府及交运集团的信访维稳政策，及时办理各类交办件及市民群众各渠道投诉及意见建议。</w:t>
      </w:r>
    </w:p>
    <w:p w14:paraId="199D924E">
      <w:pPr>
        <w:spacing w:line="56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13</w:t>
      </w:r>
      <w:r>
        <w:rPr>
          <w:rFonts w:hint="eastAsia" w:ascii="仿宋_GB2312" w:hAnsi="仿宋_GB2312" w:eastAsia="仿宋_GB2312" w:cs="仿宋_GB2312"/>
          <w:color w:val="000000"/>
          <w:sz w:val="28"/>
          <w:szCs w:val="28"/>
          <w:highlight w:val="none"/>
          <w:lang w:val="en-US" w:eastAsia="zh-CN"/>
        </w:rPr>
        <w:t>.</w:t>
      </w:r>
      <w:r>
        <w:rPr>
          <w:rFonts w:hint="eastAsia" w:ascii="仿宋_GB2312" w:hAnsi="仿宋_GB2312" w:eastAsia="仿宋_GB2312" w:cs="仿宋_GB2312"/>
          <w:color w:val="000000"/>
          <w:sz w:val="28"/>
          <w:szCs w:val="28"/>
          <w:highlight w:val="none"/>
        </w:rPr>
        <w:t>未尽事宜由相关安全协议补充。</w:t>
      </w:r>
    </w:p>
    <w:p w14:paraId="7455B626">
      <w:pPr>
        <w:spacing w:line="56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（三）相关经营手续的完善</w:t>
      </w:r>
    </w:p>
    <w:p w14:paraId="31CBADF0">
      <w:pPr>
        <w:spacing w:line="56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1</w:t>
      </w:r>
      <w:r>
        <w:rPr>
          <w:rFonts w:hint="eastAsia" w:ascii="仿宋_GB2312" w:hAnsi="仿宋_GB2312" w:eastAsia="仿宋_GB2312" w:cs="仿宋_GB2312"/>
          <w:color w:val="000000"/>
          <w:sz w:val="28"/>
          <w:szCs w:val="28"/>
          <w:highlight w:val="none"/>
          <w:lang w:val="en-US" w:eastAsia="zh-CN"/>
        </w:rPr>
        <w:t>.</w:t>
      </w:r>
      <w:r>
        <w:rPr>
          <w:rFonts w:hint="eastAsia" w:ascii="仿宋_GB2312" w:hAnsi="仿宋_GB2312" w:eastAsia="仿宋_GB2312" w:cs="仿宋_GB2312"/>
          <w:color w:val="000000"/>
          <w:sz w:val="28"/>
          <w:szCs w:val="28"/>
          <w:highlight w:val="none"/>
        </w:rPr>
        <w:t>乙方自行完善其开展经营活动所需的相关行政审批手续办理，如未完善相关行政审批手续开展经营活动的，一切后果由乙方自行承担；如给甲方带来损失的，乙方应承担相应的经济赔偿。</w:t>
      </w:r>
    </w:p>
    <w:p w14:paraId="0BB51168">
      <w:pPr>
        <w:spacing w:line="56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2</w:t>
      </w:r>
      <w:r>
        <w:rPr>
          <w:rFonts w:hint="eastAsia" w:ascii="仿宋_GB2312" w:hAnsi="仿宋_GB2312" w:eastAsia="仿宋_GB2312" w:cs="仿宋_GB2312"/>
          <w:color w:val="000000"/>
          <w:sz w:val="28"/>
          <w:szCs w:val="28"/>
          <w:highlight w:val="none"/>
          <w:lang w:val="en-US" w:eastAsia="zh-CN"/>
        </w:rPr>
        <w:t>.</w:t>
      </w:r>
      <w:r>
        <w:rPr>
          <w:rFonts w:hint="eastAsia" w:ascii="仿宋_GB2312" w:hAnsi="仿宋_GB2312" w:eastAsia="仿宋_GB2312" w:cs="仿宋_GB2312"/>
          <w:color w:val="000000"/>
          <w:sz w:val="28"/>
          <w:szCs w:val="28"/>
          <w:highlight w:val="none"/>
        </w:rPr>
        <w:t>甲方积极配合乙方开展相关行政审批手续办理，提供已完成的相关手续或证明材料。</w:t>
      </w:r>
    </w:p>
    <w:p w14:paraId="07C93167">
      <w:pPr>
        <w:spacing w:line="56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3</w:t>
      </w:r>
      <w:r>
        <w:rPr>
          <w:rFonts w:hint="eastAsia" w:ascii="仿宋_GB2312" w:hAnsi="仿宋_GB2312" w:eastAsia="仿宋_GB2312" w:cs="仿宋_GB2312"/>
          <w:color w:val="000000"/>
          <w:sz w:val="28"/>
          <w:szCs w:val="28"/>
          <w:highlight w:val="none"/>
          <w:lang w:val="en-US" w:eastAsia="zh-CN"/>
        </w:rPr>
        <w:t>.</w:t>
      </w:r>
      <w:r>
        <w:rPr>
          <w:rFonts w:hint="eastAsia" w:ascii="仿宋_GB2312" w:hAnsi="仿宋_GB2312" w:eastAsia="仿宋_GB2312" w:cs="仿宋_GB2312"/>
          <w:color w:val="000000"/>
          <w:sz w:val="28"/>
          <w:szCs w:val="28"/>
          <w:highlight w:val="none"/>
        </w:rPr>
        <w:t>乙方明确知晓经营标的物暂无可用于</w:t>
      </w:r>
      <w:r>
        <w:rPr>
          <w:rFonts w:hint="eastAsia" w:ascii="仿宋_GB2312" w:hAnsi="仿宋_GB2312" w:eastAsia="仿宋_GB2312" w:cs="仿宋_GB2312"/>
          <w:color w:val="auto"/>
          <w:sz w:val="28"/>
          <w:szCs w:val="28"/>
          <w:highlight w:val="none"/>
        </w:rPr>
        <w:t>商业经营的相关行政许可证</w:t>
      </w:r>
      <w:r>
        <w:rPr>
          <w:rFonts w:hint="eastAsia" w:ascii="仿宋_GB2312" w:hAnsi="仿宋_GB2312" w:eastAsia="仿宋_GB2312" w:cs="仿宋_GB2312"/>
          <w:color w:val="000000"/>
          <w:sz w:val="28"/>
          <w:szCs w:val="28"/>
          <w:highlight w:val="none"/>
        </w:rPr>
        <w:t>，明确知晓签订相关</w:t>
      </w:r>
      <w:r>
        <w:rPr>
          <w:rFonts w:hint="eastAsia" w:ascii="仿宋_GB2312" w:hAnsi="仿宋_GB2312" w:eastAsia="仿宋_GB2312" w:cs="仿宋_GB2312"/>
          <w:color w:val="000000"/>
          <w:sz w:val="28"/>
          <w:szCs w:val="28"/>
          <w:highlight w:val="none"/>
          <w:lang w:eastAsia="zh-CN"/>
        </w:rPr>
        <w:t>经营</w:t>
      </w:r>
      <w:r>
        <w:rPr>
          <w:rFonts w:hint="eastAsia" w:ascii="仿宋_GB2312" w:hAnsi="仿宋_GB2312" w:eastAsia="仿宋_GB2312" w:cs="仿宋_GB2312"/>
          <w:color w:val="000000"/>
          <w:sz w:val="28"/>
          <w:szCs w:val="28"/>
          <w:highlight w:val="none"/>
        </w:rPr>
        <w:t>合同可能存在的风险，并自愿签订</w:t>
      </w:r>
      <w:r>
        <w:rPr>
          <w:rFonts w:hint="eastAsia" w:ascii="仿宋_GB2312" w:hAnsi="仿宋_GB2312" w:eastAsia="仿宋_GB2312" w:cs="仿宋_GB2312"/>
          <w:color w:val="000000"/>
          <w:sz w:val="28"/>
          <w:szCs w:val="28"/>
          <w:highlight w:val="none"/>
          <w:lang w:eastAsia="zh-CN"/>
        </w:rPr>
        <w:t>经营</w:t>
      </w:r>
      <w:r>
        <w:rPr>
          <w:rFonts w:hint="eastAsia" w:ascii="仿宋_GB2312" w:hAnsi="仿宋_GB2312" w:eastAsia="仿宋_GB2312" w:cs="仿宋_GB2312"/>
          <w:color w:val="000000"/>
          <w:sz w:val="28"/>
          <w:szCs w:val="28"/>
          <w:highlight w:val="none"/>
        </w:rPr>
        <w:t>合同，由此产生后果（包括但不限于该合同无效、解除或其他任何原因不能履行）由乙方承担，乙方不得向甲方主张任何补偿或赔偿责任。</w:t>
      </w:r>
    </w:p>
    <w:p w14:paraId="75CB2F7F">
      <w:pPr>
        <w:spacing w:line="56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（四）装修管理</w:t>
      </w:r>
    </w:p>
    <w:p w14:paraId="54CB3246">
      <w:pPr>
        <w:spacing w:line="56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乙方开展装修不得对轨道交通运营造成妨碍或损害，业态规划方案、装修方案须经甲方同意、并完善相关地铁保护手续办理后方可实施，装修的报建、竣工验收手续由乙方自行办理，装修费用、办理相关手续的费用由乙方自行承担，并确保装修施工行为满足国家、地方相关法律法规和甲方颁布的相关制度要求。</w:t>
      </w:r>
    </w:p>
    <w:p w14:paraId="79985B19">
      <w:pPr>
        <w:spacing w:line="56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（五）经营管理</w:t>
      </w:r>
    </w:p>
    <w:p w14:paraId="0CE4E3B9">
      <w:pPr>
        <w:spacing w:line="56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1</w:t>
      </w:r>
      <w:r>
        <w:rPr>
          <w:rFonts w:hint="eastAsia" w:ascii="仿宋_GB2312" w:hAnsi="仿宋_GB2312" w:eastAsia="仿宋_GB2312" w:cs="仿宋_GB2312"/>
          <w:color w:val="000000"/>
          <w:sz w:val="28"/>
          <w:szCs w:val="28"/>
          <w:highlight w:val="none"/>
          <w:lang w:val="en-US" w:eastAsia="zh-CN"/>
        </w:rPr>
        <w:t>.</w:t>
      </w:r>
      <w:r>
        <w:rPr>
          <w:rFonts w:hint="eastAsia" w:ascii="仿宋_GB2312" w:hAnsi="仿宋_GB2312" w:eastAsia="仿宋_GB2312" w:cs="仿宋_GB2312"/>
          <w:color w:val="000000"/>
          <w:sz w:val="28"/>
          <w:szCs w:val="28"/>
          <w:highlight w:val="none"/>
        </w:rPr>
        <w:t>经营期间乙方不需缴纳物业管理费用，但须积极配合车站物业管理单位做好物业管理工作。</w:t>
      </w:r>
    </w:p>
    <w:p w14:paraId="256C0827">
      <w:pPr>
        <w:spacing w:line="56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2</w:t>
      </w:r>
      <w:r>
        <w:rPr>
          <w:rFonts w:hint="eastAsia" w:ascii="仿宋_GB2312" w:hAnsi="仿宋_GB2312" w:eastAsia="仿宋_GB2312" w:cs="仿宋_GB2312"/>
          <w:color w:val="000000"/>
          <w:sz w:val="28"/>
          <w:szCs w:val="28"/>
          <w:highlight w:val="none"/>
          <w:lang w:val="en-US" w:eastAsia="zh-CN"/>
        </w:rPr>
        <w:t>.</w:t>
      </w:r>
      <w:r>
        <w:rPr>
          <w:rFonts w:hint="eastAsia" w:ascii="仿宋_GB2312" w:hAnsi="仿宋_GB2312" w:eastAsia="仿宋_GB2312" w:cs="仿宋_GB2312"/>
          <w:color w:val="000000"/>
          <w:sz w:val="28"/>
          <w:szCs w:val="28"/>
          <w:highlight w:val="none"/>
        </w:rPr>
        <w:t>便民服务产业自交付给乙方后，如因乙方使用或维护不当引起结构或设施设备损坏，相关维修费用由乙方承担并应积极组织修复，不得对轨道交通运营产生妨碍；甲方已预留或安装的易耗品更新或维修费用由乙方承担。</w:t>
      </w:r>
    </w:p>
    <w:p w14:paraId="63CF546B">
      <w:pPr>
        <w:spacing w:line="56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w:t>
      </w:r>
      <w:r>
        <w:rPr>
          <w:rFonts w:hint="eastAsia" w:ascii="仿宋_GB2312" w:hAnsi="仿宋_GB2312" w:eastAsia="仿宋_GB2312" w:cs="仿宋_GB2312"/>
          <w:color w:val="FF0000"/>
          <w:sz w:val="28"/>
          <w:szCs w:val="28"/>
          <w:highlight w:val="none"/>
          <w:lang w:val="en-US" w:eastAsia="zh-CN"/>
        </w:rPr>
        <w:t>六</w:t>
      </w:r>
      <w:r>
        <w:rPr>
          <w:rFonts w:hint="eastAsia" w:ascii="仿宋_GB2312" w:hAnsi="仿宋_GB2312" w:eastAsia="仿宋_GB2312" w:cs="仿宋_GB2312"/>
          <w:color w:val="000000"/>
          <w:sz w:val="28"/>
          <w:szCs w:val="28"/>
          <w:highlight w:val="none"/>
        </w:rPr>
        <w:t>）乙方不得将便民服务产业进行转租，或用于担保、抵押等融资活动。</w:t>
      </w:r>
    </w:p>
    <w:p w14:paraId="542D675B">
      <w:pPr>
        <w:spacing w:line="560" w:lineRule="exact"/>
        <w:ind w:firstLine="560" w:firstLineChars="200"/>
        <w:rPr>
          <w:rFonts w:ascii="黑体" w:hAnsi="黑体" w:eastAsia="黑体" w:cs="黑体"/>
          <w:color w:val="000000"/>
          <w:sz w:val="28"/>
          <w:szCs w:val="28"/>
          <w:highlight w:val="none"/>
        </w:rPr>
      </w:pPr>
      <w:r>
        <w:rPr>
          <w:rFonts w:hint="eastAsia" w:ascii="黑体" w:hAnsi="黑体" w:eastAsia="黑体" w:cs="黑体"/>
          <w:color w:val="000000"/>
          <w:sz w:val="28"/>
          <w:szCs w:val="28"/>
          <w:highlight w:val="none"/>
        </w:rPr>
        <w:t>违约责任</w:t>
      </w:r>
    </w:p>
    <w:p w14:paraId="3B3CCAAE">
      <w:pPr>
        <w:spacing w:line="56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出现下列情形之一，甲方有权单方解除合同，不承担任何违约、赔偿责任且不返还乙方的</w:t>
      </w:r>
      <w:r>
        <w:rPr>
          <w:rFonts w:hint="eastAsia" w:ascii="仿宋_GB2312" w:hAnsi="仿宋_GB2312" w:eastAsia="仿宋_GB2312" w:cs="仿宋_GB2312"/>
          <w:color w:val="000000"/>
          <w:sz w:val="28"/>
          <w:szCs w:val="28"/>
          <w:highlight w:val="none"/>
          <w:lang w:val="en-US" w:eastAsia="zh-CN"/>
        </w:rPr>
        <w:t>已缴纳的经营权费及</w:t>
      </w:r>
      <w:r>
        <w:rPr>
          <w:rFonts w:hint="eastAsia" w:ascii="仿宋_GB2312" w:hAnsi="仿宋_GB2312" w:eastAsia="仿宋_GB2312" w:cs="仿宋_GB2312"/>
          <w:color w:val="000000"/>
          <w:sz w:val="28"/>
          <w:szCs w:val="28"/>
          <w:highlight w:val="none"/>
        </w:rPr>
        <w:t>履约保证金：</w:t>
      </w:r>
    </w:p>
    <w:p w14:paraId="6162FD5A">
      <w:pPr>
        <w:spacing w:line="56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（一）乙方因严重违反国家有关法律、法规、政策，导致经营场所被国家行政机关查封或关闭的。</w:t>
      </w:r>
    </w:p>
    <w:p w14:paraId="00588AC8">
      <w:pPr>
        <w:spacing w:line="56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w:t>
      </w:r>
      <w:r>
        <w:rPr>
          <w:rFonts w:hint="eastAsia" w:ascii="仿宋_GB2312" w:hAnsi="仿宋_GB2312" w:eastAsia="仿宋_GB2312" w:cs="仿宋_GB2312"/>
          <w:color w:val="000000"/>
          <w:sz w:val="28"/>
          <w:szCs w:val="28"/>
          <w:highlight w:val="none"/>
          <w:lang w:val="en-US" w:eastAsia="zh-CN"/>
        </w:rPr>
        <w:t>二</w:t>
      </w:r>
      <w:r>
        <w:rPr>
          <w:rFonts w:hint="eastAsia" w:ascii="仿宋_GB2312" w:hAnsi="仿宋_GB2312" w:eastAsia="仿宋_GB2312" w:cs="仿宋_GB2312"/>
          <w:color w:val="000000"/>
          <w:sz w:val="28"/>
          <w:szCs w:val="28"/>
          <w:highlight w:val="none"/>
        </w:rPr>
        <w:t>）乙方在商业经营过程中，未经甲方同意超出合同约定开展商业经营活动造成不良影响的。</w:t>
      </w:r>
    </w:p>
    <w:p w14:paraId="245D0CC1">
      <w:pPr>
        <w:spacing w:line="56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w:t>
      </w:r>
      <w:r>
        <w:rPr>
          <w:rFonts w:hint="eastAsia" w:ascii="仿宋_GB2312" w:hAnsi="仿宋_GB2312" w:eastAsia="仿宋_GB2312" w:cs="仿宋_GB2312"/>
          <w:color w:val="000000"/>
          <w:sz w:val="28"/>
          <w:szCs w:val="28"/>
          <w:highlight w:val="none"/>
          <w:lang w:val="en-US" w:eastAsia="zh-CN"/>
        </w:rPr>
        <w:t>三</w:t>
      </w:r>
      <w:r>
        <w:rPr>
          <w:rFonts w:hint="eastAsia" w:ascii="仿宋_GB2312" w:hAnsi="仿宋_GB2312" w:eastAsia="仿宋_GB2312" w:cs="仿宋_GB2312"/>
          <w:color w:val="000000"/>
          <w:sz w:val="28"/>
          <w:szCs w:val="28"/>
          <w:highlight w:val="none"/>
        </w:rPr>
        <w:t>）现场存在安全隐患且不按照甲方要求及时高效整改的。</w:t>
      </w:r>
    </w:p>
    <w:p w14:paraId="6F7B531F">
      <w:pPr>
        <w:spacing w:line="56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w:t>
      </w:r>
      <w:r>
        <w:rPr>
          <w:rFonts w:hint="eastAsia" w:ascii="仿宋_GB2312" w:hAnsi="仿宋_GB2312" w:eastAsia="仿宋_GB2312" w:cs="仿宋_GB2312"/>
          <w:color w:val="000000"/>
          <w:sz w:val="28"/>
          <w:szCs w:val="28"/>
          <w:highlight w:val="none"/>
          <w:lang w:val="en-US" w:eastAsia="zh-CN"/>
        </w:rPr>
        <w:t>四</w:t>
      </w:r>
      <w:r>
        <w:rPr>
          <w:rFonts w:hint="eastAsia" w:ascii="仿宋_GB2312" w:hAnsi="仿宋_GB2312" w:eastAsia="仿宋_GB2312" w:cs="仿宋_GB2312"/>
          <w:color w:val="000000"/>
          <w:sz w:val="28"/>
          <w:szCs w:val="28"/>
          <w:highlight w:val="none"/>
        </w:rPr>
        <w:t>）乙方经营活动严重干扰轨道交通正常运营、设施设备维护或应急抢险工作，经甲方书面警告后仍未采取有效整改措施的。</w:t>
      </w:r>
    </w:p>
    <w:p w14:paraId="5950190A">
      <w:pPr>
        <w:spacing w:line="56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w:t>
      </w:r>
      <w:r>
        <w:rPr>
          <w:rFonts w:hint="eastAsia" w:ascii="仿宋_GB2312" w:hAnsi="仿宋_GB2312" w:eastAsia="仿宋_GB2312" w:cs="仿宋_GB2312"/>
          <w:color w:val="000000"/>
          <w:sz w:val="28"/>
          <w:szCs w:val="28"/>
          <w:highlight w:val="none"/>
          <w:lang w:val="en-US" w:eastAsia="zh-CN"/>
        </w:rPr>
        <w:t>五</w:t>
      </w:r>
      <w:r>
        <w:rPr>
          <w:rFonts w:hint="eastAsia" w:ascii="仿宋_GB2312" w:hAnsi="仿宋_GB2312" w:eastAsia="仿宋_GB2312" w:cs="仿宋_GB2312"/>
          <w:color w:val="000000"/>
          <w:sz w:val="28"/>
          <w:szCs w:val="28"/>
          <w:highlight w:val="none"/>
        </w:rPr>
        <w:t>）在签署和履行本合同过程中隐瞒可能影响本合同履行的任何信息，向甲方提供虚假的资料或信息被查实的。</w:t>
      </w:r>
    </w:p>
    <w:p w14:paraId="3F672BAF">
      <w:pPr>
        <w:spacing w:line="56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w:t>
      </w:r>
      <w:r>
        <w:rPr>
          <w:rFonts w:hint="eastAsia" w:ascii="仿宋_GB2312" w:hAnsi="仿宋_GB2312" w:eastAsia="仿宋_GB2312" w:cs="仿宋_GB2312"/>
          <w:color w:val="000000"/>
          <w:sz w:val="28"/>
          <w:szCs w:val="28"/>
          <w:highlight w:val="none"/>
          <w:lang w:val="en-US" w:eastAsia="zh-CN"/>
        </w:rPr>
        <w:t>六</w:t>
      </w:r>
      <w:r>
        <w:rPr>
          <w:rFonts w:hint="eastAsia" w:ascii="仿宋_GB2312" w:hAnsi="仿宋_GB2312" w:eastAsia="仿宋_GB2312" w:cs="仿宋_GB2312"/>
          <w:color w:val="000000"/>
          <w:sz w:val="28"/>
          <w:szCs w:val="28"/>
          <w:highlight w:val="none"/>
        </w:rPr>
        <w:t>）乙方造成较大安全隐患而未采取及时有效的处理措施的。</w:t>
      </w:r>
    </w:p>
    <w:p w14:paraId="0499CB03">
      <w:pPr>
        <w:spacing w:line="56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w:t>
      </w:r>
      <w:r>
        <w:rPr>
          <w:rFonts w:hint="eastAsia" w:ascii="仿宋_GB2312" w:hAnsi="仿宋_GB2312" w:eastAsia="仿宋_GB2312" w:cs="仿宋_GB2312"/>
          <w:color w:val="000000"/>
          <w:sz w:val="28"/>
          <w:szCs w:val="28"/>
          <w:highlight w:val="none"/>
          <w:lang w:val="en-US" w:eastAsia="zh-CN"/>
        </w:rPr>
        <w:t>七</w:t>
      </w:r>
      <w:r>
        <w:rPr>
          <w:rFonts w:hint="eastAsia" w:ascii="仿宋_GB2312" w:hAnsi="仿宋_GB2312" w:eastAsia="仿宋_GB2312" w:cs="仿宋_GB2312"/>
          <w:color w:val="000000"/>
          <w:sz w:val="28"/>
          <w:szCs w:val="28"/>
          <w:highlight w:val="none"/>
        </w:rPr>
        <w:t>）乙方在经营期间严重违反</w:t>
      </w:r>
      <w:r>
        <w:rPr>
          <w:rFonts w:hint="eastAsia" w:ascii="仿宋_GB2312" w:hAnsi="仿宋_GB2312" w:eastAsia="仿宋_GB2312" w:cs="仿宋_GB2312"/>
          <w:color w:val="000000"/>
          <w:sz w:val="28"/>
          <w:szCs w:val="28"/>
          <w:highlight w:val="none"/>
          <w:lang w:eastAsia="zh-CN"/>
        </w:rPr>
        <w:t>经营</w:t>
      </w:r>
      <w:r>
        <w:rPr>
          <w:rFonts w:hint="eastAsia" w:ascii="仿宋_GB2312" w:hAnsi="仿宋_GB2312" w:eastAsia="仿宋_GB2312" w:cs="仿宋_GB2312"/>
          <w:color w:val="000000"/>
          <w:sz w:val="28"/>
          <w:szCs w:val="28"/>
          <w:highlight w:val="none"/>
        </w:rPr>
        <w:t>合同条款或物业管理规定且拒不整改。</w:t>
      </w:r>
    </w:p>
    <w:p w14:paraId="62CE35A7">
      <w:pPr>
        <w:spacing w:line="56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w:t>
      </w:r>
      <w:r>
        <w:rPr>
          <w:rFonts w:hint="eastAsia" w:ascii="仿宋_GB2312" w:hAnsi="仿宋_GB2312" w:eastAsia="仿宋_GB2312" w:cs="仿宋_GB2312"/>
          <w:color w:val="000000"/>
          <w:sz w:val="28"/>
          <w:szCs w:val="28"/>
          <w:highlight w:val="none"/>
          <w:lang w:val="en-US" w:eastAsia="zh-CN"/>
        </w:rPr>
        <w:t>八</w:t>
      </w:r>
      <w:r>
        <w:rPr>
          <w:rFonts w:hint="eastAsia" w:ascii="仿宋_GB2312" w:hAnsi="仿宋_GB2312" w:eastAsia="仿宋_GB2312" w:cs="仿宋_GB2312"/>
          <w:color w:val="000000"/>
          <w:sz w:val="28"/>
          <w:szCs w:val="28"/>
          <w:highlight w:val="none"/>
        </w:rPr>
        <w:t>）经查实，乙方将经营标的进行转租或用于担保、抵押等融资的。</w:t>
      </w:r>
    </w:p>
    <w:p w14:paraId="17E22069">
      <w:pPr>
        <w:spacing w:line="560" w:lineRule="exact"/>
        <w:ind w:firstLine="560" w:firstLineChars="200"/>
        <w:rPr>
          <w:rFonts w:ascii="黑体" w:hAnsi="黑体" w:eastAsia="黑体" w:cs="黑体"/>
          <w:color w:val="000000"/>
          <w:sz w:val="28"/>
          <w:szCs w:val="28"/>
          <w:highlight w:val="none"/>
        </w:rPr>
      </w:pPr>
      <w:r>
        <w:rPr>
          <w:rFonts w:hint="eastAsia" w:ascii="黑体" w:hAnsi="黑体" w:eastAsia="黑体" w:cs="黑体"/>
          <w:color w:val="000000"/>
          <w:sz w:val="28"/>
          <w:szCs w:val="28"/>
          <w:highlight w:val="none"/>
        </w:rPr>
        <w:t>合同终止及解除</w:t>
      </w:r>
    </w:p>
    <w:p w14:paraId="27683D6A">
      <w:pPr>
        <w:spacing w:line="56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（一）经营期满终止合同</w:t>
      </w:r>
    </w:p>
    <w:p w14:paraId="3DB7509B">
      <w:pPr>
        <w:spacing w:line="56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经营期限届满，乙方将便民服务产业按照返还条款约定移交给甲方，并退还履约保证金，双方正常解除合同，不再另行签订解除协议。</w:t>
      </w:r>
    </w:p>
    <w:p w14:paraId="5E1CA89E">
      <w:pPr>
        <w:spacing w:line="56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（二）提前终止合同</w:t>
      </w:r>
    </w:p>
    <w:p w14:paraId="309D45DE">
      <w:pPr>
        <w:spacing w:line="56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1</w:t>
      </w:r>
      <w:r>
        <w:rPr>
          <w:rFonts w:hint="eastAsia" w:ascii="仿宋_GB2312" w:hAnsi="仿宋_GB2312" w:eastAsia="仿宋_GB2312" w:cs="仿宋_GB2312"/>
          <w:color w:val="000000"/>
          <w:sz w:val="28"/>
          <w:szCs w:val="28"/>
          <w:highlight w:val="none"/>
          <w:lang w:val="en-US" w:eastAsia="zh-CN"/>
        </w:rPr>
        <w:t>.</w:t>
      </w:r>
      <w:r>
        <w:rPr>
          <w:rFonts w:hint="eastAsia" w:ascii="仿宋_GB2312" w:hAnsi="仿宋_GB2312" w:eastAsia="仿宋_GB2312" w:cs="仿宋_GB2312"/>
          <w:color w:val="000000"/>
          <w:sz w:val="28"/>
          <w:szCs w:val="28"/>
          <w:highlight w:val="none"/>
        </w:rPr>
        <w:t>乙方因自身原因提前终止合同的，须提前至少</w:t>
      </w:r>
      <w:r>
        <w:rPr>
          <w:rFonts w:hint="eastAsia" w:ascii="仿宋_GB2312" w:hAnsi="仿宋_GB2312" w:eastAsia="仿宋_GB2312" w:cs="仿宋_GB2312"/>
          <w:color w:val="000000"/>
          <w:sz w:val="28"/>
          <w:szCs w:val="28"/>
          <w:highlight w:val="none"/>
          <w:lang w:val="en-US" w:eastAsia="zh-CN"/>
        </w:rPr>
        <w:t>1个月</w:t>
      </w:r>
      <w:r>
        <w:rPr>
          <w:rFonts w:hint="eastAsia" w:ascii="仿宋_GB2312" w:hAnsi="仿宋_GB2312" w:eastAsia="仿宋_GB2312" w:cs="仿宋_GB2312"/>
          <w:color w:val="000000"/>
          <w:sz w:val="28"/>
          <w:szCs w:val="28"/>
          <w:highlight w:val="none"/>
        </w:rPr>
        <w:t>书面征得甲方同意，双方协商一致并按照返还条款的约定将便民服务产业移交给甲方后，履约保证金不予以退还，乙方缴纳的剩余未使用经营管理费在扣除相关费用（包括但不限于水电费、拆除、清理或修复产生的费用等）后将予以退还；履约保证金和未使用经营管理费不足以抵扣相关费用时，甲方有权向乙方进行追偿。</w:t>
      </w:r>
    </w:p>
    <w:p w14:paraId="07D9587C">
      <w:pPr>
        <w:spacing w:line="56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2</w:t>
      </w:r>
      <w:r>
        <w:rPr>
          <w:rFonts w:hint="eastAsia" w:ascii="仿宋_GB2312" w:hAnsi="仿宋_GB2312" w:eastAsia="仿宋_GB2312" w:cs="仿宋_GB2312"/>
          <w:color w:val="000000"/>
          <w:sz w:val="28"/>
          <w:szCs w:val="28"/>
          <w:highlight w:val="none"/>
          <w:lang w:val="en-US" w:eastAsia="zh-CN"/>
        </w:rPr>
        <w:t>.</w:t>
      </w:r>
      <w:r>
        <w:rPr>
          <w:rFonts w:hint="eastAsia" w:ascii="仿宋_GB2312" w:hAnsi="仿宋_GB2312" w:eastAsia="仿宋_GB2312" w:cs="仿宋_GB2312"/>
          <w:color w:val="000000"/>
          <w:sz w:val="28"/>
          <w:szCs w:val="28"/>
          <w:highlight w:val="none"/>
        </w:rPr>
        <w:t>甲方因自身的原因需提前终止</w:t>
      </w:r>
      <w:r>
        <w:rPr>
          <w:rFonts w:hint="eastAsia" w:ascii="仿宋_GB2312" w:hAnsi="仿宋_GB2312" w:eastAsia="仿宋_GB2312" w:cs="仿宋_GB2312"/>
          <w:color w:val="000000"/>
          <w:sz w:val="28"/>
          <w:szCs w:val="28"/>
          <w:highlight w:val="none"/>
          <w:lang w:eastAsia="zh-CN"/>
        </w:rPr>
        <w:t>经营</w:t>
      </w:r>
      <w:r>
        <w:rPr>
          <w:rFonts w:hint="eastAsia" w:ascii="仿宋_GB2312" w:hAnsi="仿宋_GB2312" w:eastAsia="仿宋_GB2312" w:cs="仿宋_GB2312"/>
          <w:color w:val="000000"/>
          <w:sz w:val="28"/>
          <w:szCs w:val="28"/>
          <w:highlight w:val="none"/>
        </w:rPr>
        <w:t>合同的，甲方向乙方发出书面通知，通知载明之日即为合同终止日。甲方将未使用的经营管理费和履约保证金予以退还，乙方须按通知要求将便民服务产业及时移交给甲方，因此给乙方产生的损失由双方另行协商处理。</w:t>
      </w:r>
    </w:p>
    <w:p w14:paraId="0205FACF">
      <w:pPr>
        <w:spacing w:line="56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3</w:t>
      </w:r>
      <w:r>
        <w:rPr>
          <w:rFonts w:hint="eastAsia" w:ascii="仿宋_GB2312" w:hAnsi="仿宋_GB2312" w:eastAsia="仿宋_GB2312" w:cs="仿宋_GB2312"/>
          <w:color w:val="000000"/>
          <w:sz w:val="28"/>
          <w:szCs w:val="28"/>
          <w:highlight w:val="none"/>
          <w:lang w:val="en-US" w:eastAsia="zh-CN"/>
        </w:rPr>
        <w:t>.</w:t>
      </w:r>
      <w:r>
        <w:rPr>
          <w:rFonts w:hint="eastAsia" w:ascii="仿宋_GB2312" w:hAnsi="仿宋_GB2312" w:eastAsia="仿宋_GB2312" w:cs="仿宋_GB2312"/>
          <w:color w:val="000000"/>
          <w:sz w:val="28"/>
          <w:szCs w:val="28"/>
          <w:highlight w:val="none"/>
        </w:rPr>
        <w:t>因不可抗力因素导致便民服务产业不能使用或合同目的不能实现的，双方均有权提出解除</w:t>
      </w:r>
      <w:r>
        <w:rPr>
          <w:rFonts w:hint="eastAsia" w:ascii="仿宋_GB2312" w:hAnsi="仿宋_GB2312" w:eastAsia="仿宋_GB2312" w:cs="仿宋_GB2312"/>
          <w:color w:val="000000"/>
          <w:sz w:val="28"/>
          <w:szCs w:val="28"/>
          <w:highlight w:val="none"/>
          <w:lang w:eastAsia="zh-CN"/>
        </w:rPr>
        <w:t>经营</w:t>
      </w:r>
      <w:r>
        <w:rPr>
          <w:rFonts w:hint="eastAsia" w:ascii="仿宋_GB2312" w:hAnsi="仿宋_GB2312" w:eastAsia="仿宋_GB2312" w:cs="仿宋_GB2312"/>
          <w:color w:val="000000"/>
          <w:sz w:val="28"/>
          <w:szCs w:val="28"/>
          <w:highlight w:val="none"/>
        </w:rPr>
        <w:t>合同，双方达成一致意见后可友好解除合同，除不退还已使用的经营管理费外，双方互不承担违约责任。</w:t>
      </w:r>
    </w:p>
    <w:p w14:paraId="53D9EF97">
      <w:pPr>
        <w:spacing w:line="560" w:lineRule="exact"/>
        <w:ind w:firstLine="560" w:firstLineChars="200"/>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rPr>
        <w:t>（三）</w:t>
      </w:r>
      <w:r>
        <w:rPr>
          <w:rFonts w:hint="eastAsia" w:ascii="仿宋_GB2312" w:hAnsi="仿宋_GB2312" w:eastAsia="仿宋_GB2312" w:cs="仿宋_GB2312"/>
          <w:color w:val="000000"/>
          <w:sz w:val="28"/>
          <w:szCs w:val="28"/>
          <w:highlight w:val="none"/>
          <w:lang w:val="en-US" w:eastAsia="zh-CN"/>
        </w:rPr>
        <w:t>违约终止</w:t>
      </w:r>
    </w:p>
    <w:p w14:paraId="177D9259">
      <w:pPr>
        <w:spacing w:line="56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如</w:t>
      </w:r>
      <w:r>
        <w:rPr>
          <w:rFonts w:hint="eastAsia" w:ascii="仿宋_GB2312" w:hAnsi="仿宋_GB2312" w:eastAsia="仿宋_GB2312" w:cs="仿宋_GB2312"/>
          <w:color w:val="000000"/>
          <w:sz w:val="28"/>
          <w:szCs w:val="28"/>
          <w:highlight w:val="none"/>
          <w:lang w:eastAsia="zh-CN"/>
        </w:rPr>
        <w:t>乙方</w:t>
      </w:r>
      <w:r>
        <w:rPr>
          <w:rFonts w:hint="eastAsia" w:ascii="仿宋_GB2312" w:hAnsi="仿宋_GB2312" w:eastAsia="仿宋_GB2312" w:cs="仿宋_GB2312"/>
          <w:color w:val="000000"/>
          <w:sz w:val="28"/>
          <w:szCs w:val="28"/>
          <w:highlight w:val="none"/>
        </w:rPr>
        <w:t>违反本合同约定，</w:t>
      </w:r>
      <w:r>
        <w:rPr>
          <w:rFonts w:hint="eastAsia" w:ascii="仿宋_GB2312" w:hAnsi="仿宋_GB2312" w:eastAsia="仿宋_GB2312" w:cs="仿宋_GB2312"/>
          <w:color w:val="000000"/>
          <w:sz w:val="28"/>
          <w:szCs w:val="28"/>
          <w:highlight w:val="none"/>
          <w:lang w:eastAsia="zh-CN"/>
        </w:rPr>
        <w:t>甲方</w:t>
      </w:r>
      <w:r>
        <w:rPr>
          <w:rFonts w:hint="eastAsia" w:ascii="仿宋_GB2312" w:hAnsi="仿宋_GB2312" w:eastAsia="仿宋_GB2312" w:cs="仿宋_GB2312"/>
          <w:color w:val="000000"/>
          <w:sz w:val="28"/>
          <w:szCs w:val="28"/>
          <w:highlight w:val="none"/>
        </w:rPr>
        <w:t>除有权追究</w:t>
      </w:r>
      <w:r>
        <w:rPr>
          <w:rFonts w:hint="eastAsia" w:ascii="仿宋_GB2312" w:hAnsi="仿宋_GB2312" w:eastAsia="仿宋_GB2312" w:cs="仿宋_GB2312"/>
          <w:color w:val="000000"/>
          <w:sz w:val="28"/>
          <w:szCs w:val="28"/>
          <w:highlight w:val="none"/>
          <w:lang w:eastAsia="zh-CN"/>
        </w:rPr>
        <w:t>乙方</w:t>
      </w:r>
      <w:r>
        <w:rPr>
          <w:rFonts w:hint="eastAsia" w:ascii="仿宋_GB2312" w:hAnsi="仿宋_GB2312" w:eastAsia="仿宋_GB2312" w:cs="仿宋_GB2312"/>
          <w:color w:val="000000"/>
          <w:sz w:val="28"/>
          <w:szCs w:val="28"/>
          <w:highlight w:val="none"/>
        </w:rPr>
        <w:t>违约赔偿责任外，还有权发出终止通知终止本合同，发出终止通知之日即为终止日，</w:t>
      </w:r>
      <w:r>
        <w:rPr>
          <w:rFonts w:hint="eastAsia" w:ascii="仿宋_GB2312" w:hAnsi="仿宋_GB2312" w:eastAsia="仿宋_GB2312" w:cs="仿宋_GB2312"/>
          <w:color w:val="000000"/>
          <w:sz w:val="28"/>
          <w:szCs w:val="28"/>
          <w:highlight w:val="none"/>
          <w:lang w:eastAsia="zh-CN"/>
        </w:rPr>
        <w:t>甲方</w:t>
      </w:r>
      <w:r>
        <w:rPr>
          <w:rFonts w:hint="eastAsia" w:ascii="仿宋_GB2312" w:hAnsi="仿宋_GB2312" w:eastAsia="仿宋_GB2312" w:cs="仿宋_GB2312"/>
          <w:color w:val="000000"/>
          <w:sz w:val="28"/>
          <w:szCs w:val="28"/>
          <w:highlight w:val="none"/>
        </w:rPr>
        <w:t>已经收取的</w:t>
      </w:r>
      <w:r>
        <w:rPr>
          <w:rFonts w:hint="eastAsia" w:ascii="仿宋_GB2312" w:hAnsi="仿宋_GB2312" w:eastAsia="仿宋_GB2312" w:cs="仿宋_GB2312"/>
          <w:color w:val="000000"/>
          <w:sz w:val="28"/>
          <w:szCs w:val="28"/>
          <w:highlight w:val="none"/>
          <w:lang w:val="en-US" w:eastAsia="zh-CN"/>
        </w:rPr>
        <w:t>经营权费</w:t>
      </w:r>
      <w:r>
        <w:rPr>
          <w:rFonts w:hint="eastAsia" w:ascii="仿宋_GB2312" w:hAnsi="仿宋_GB2312" w:eastAsia="仿宋_GB2312" w:cs="仿宋_GB2312"/>
          <w:color w:val="000000"/>
          <w:sz w:val="28"/>
          <w:szCs w:val="28"/>
          <w:highlight w:val="none"/>
          <w:lang w:eastAsia="zh-CN"/>
        </w:rPr>
        <w:t>和履约保证金</w:t>
      </w:r>
      <w:r>
        <w:rPr>
          <w:rFonts w:hint="eastAsia" w:ascii="仿宋_GB2312" w:hAnsi="仿宋_GB2312" w:eastAsia="仿宋_GB2312" w:cs="仿宋_GB2312"/>
          <w:color w:val="000000"/>
          <w:sz w:val="28"/>
          <w:szCs w:val="28"/>
          <w:highlight w:val="none"/>
        </w:rPr>
        <w:t>不退还</w:t>
      </w:r>
      <w:r>
        <w:rPr>
          <w:rFonts w:hint="eastAsia" w:ascii="仿宋_GB2312" w:hAnsi="仿宋_GB2312" w:eastAsia="仿宋_GB2312" w:cs="仿宋_GB2312"/>
          <w:color w:val="000000"/>
          <w:sz w:val="28"/>
          <w:szCs w:val="28"/>
          <w:highlight w:val="none"/>
          <w:lang w:eastAsia="zh-CN"/>
        </w:rPr>
        <w:t>乙方</w:t>
      </w:r>
      <w:r>
        <w:rPr>
          <w:rFonts w:hint="eastAsia" w:ascii="仿宋_GB2312" w:hAnsi="仿宋_GB2312" w:eastAsia="仿宋_GB2312" w:cs="仿宋_GB2312"/>
          <w:color w:val="000000"/>
          <w:sz w:val="28"/>
          <w:szCs w:val="28"/>
          <w:highlight w:val="none"/>
        </w:rPr>
        <w:t>。此外，</w:t>
      </w:r>
      <w:r>
        <w:rPr>
          <w:rFonts w:hint="eastAsia" w:ascii="仿宋_GB2312" w:hAnsi="仿宋_GB2312" w:eastAsia="仿宋_GB2312" w:cs="仿宋_GB2312"/>
          <w:color w:val="000000"/>
          <w:sz w:val="28"/>
          <w:szCs w:val="28"/>
          <w:highlight w:val="none"/>
          <w:lang w:eastAsia="zh-CN"/>
        </w:rPr>
        <w:t>乙方</w:t>
      </w:r>
      <w:r>
        <w:rPr>
          <w:rFonts w:hint="eastAsia" w:ascii="仿宋_GB2312" w:hAnsi="仿宋_GB2312" w:eastAsia="仿宋_GB2312" w:cs="仿宋_GB2312"/>
          <w:color w:val="000000"/>
          <w:sz w:val="28"/>
          <w:szCs w:val="28"/>
          <w:highlight w:val="none"/>
        </w:rPr>
        <w:t>须向</w:t>
      </w:r>
      <w:r>
        <w:rPr>
          <w:rFonts w:hint="eastAsia" w:ascii="仿宋_GB2312" w:hAnsi="仿宋_GB2312" w:eastAsia="仿宋_GB2312" w:cs="仿宋_GB2312"/>
          <w:color w:val="000000"/>
          <w:sz w:val="28"/>
          <w:szCs w:val="28"/>
          <w:highlight w:val="none"/>
          <w:lang w:val="en-US" w:eastAsia="zh-CN"/>
        </w:rPr>
        <w:t>甲方</w:t>
      </w:r>
      <w:r>
        <w:rPr>
          <w:rFonts w:hint="eastAsia" w:ascii="仿宋_GB2312" w:hAnsi="仿宋_GB2312" w:eastAsia="仿宋_GB2312" w:cs="仿宋_GB2312"/>
          <w:color w:val="000000"/>
          <w:sz w:val="28"/>
          <w:szCs w:val="28"/>
          <w:highlight w:val="none"/>
        </w:rPr>
        <w:t>赔偿因此给</w:t>
      </w:r>
      <w:r>
        <w:rPr>
          <w:rFonts w:hint="eastAsia" w:ascii="仿宋_GB2312" w:hAnsi="仿宋_GB2312" w:eastAsia="仿宋_GB2312" w:cs="仿宋_GB2312"/>
          <w:color w:val="000000"/>
          <w:sz w:val="28"/>
          <w:szCs w:val="28"/>
          <w:highlight w:val="none"/>
          <w:lang w:eastAsia="zh-CN"/>
        </w:rPr>
        <w:t>甲方</w:t>
      </w:r>
      <w:r>
        <w:rPr>
          <w:rFonts w:hint="eastAsia" w:ascii="仿宋_GB2312" w:hAnsi="仿宋_GB2312" w:eastAsia="仿宋_GB2312" w:cs="仿宋_GB2312"/>
          <w:color w:val="000000"/>
          <w:sz w:val="28"/>
          <w:szCs w:val="28"/>
          <w:highlight w:val="none"/>
        </w:rPr>
        <w:t>造成的经济损失。</w:t>
      </w:r>
      <w:r>
        <w:rPr>
          <w:rFonts w:hint="eastAsia" w:ascii="仿宋_GB2312" w:hAnsi="仿宋_GB2312" w:eastAsia="仿宋_GB2312" w:cs="仿宋_GB2312"/>
          <w:color w:val="000000"/>
          <w:sz w:val="28"/>
          <w:szCs w:val="28"/>
          <w:highlight w:val="none"/>
          <w:lang w:eastAsia="zh-CN"/>
        </w:rPr>
        <w:t>乙方</w:t>
      </w:r>
      <w:r>
        <w:rPr>
          <w:rFonts w:hint="eastAsia" w:ascii="仿宋_GB2312" w:hAnsi="仿宋_GB2312" w:eastAsia="仿宋_GB2312" w:cs="仿宋_GB2312"/>
          <w:color w:val="000000"/>
          <w:sz w:val="28"/>
          <w:szCs w:val="28"/>
          <w:highlight w:val="none"/>
        </w:rPr>
        <w:t>应按本合同有关返还的约定条款执行，</w:t>
      </w:r>
      <w:r>
        <w:rPr>
          <w:rFonts w:hint="eastAsia" w:ascii="仿宋_GB2312" w:hAnsi="仿宋_GB2312" w:eastAsia="仿宋_GB2312" w:cs="仿宋_GB2312"/>
          <w:color w:val="000000"/>
          <w:sz w:val="28"/>
          <w:szCs w:val="28"/>
          <w:highlight w:val="none"/>
          <w:lang w:eastAsia="zh-CN"/>
        </w:rPr>
        <w:t>甲方</w:t>
      </w:r>
      <w:r>
        <w:rPr>
          <w:rFonts w:hint="eastAsia" w:ascii="仿宋_GB2312" w:hAnsi="仿宋_GB2312" w:eastAsia="仿宋_GB2312" w:cs="仿宋_GB2312"/>
          <w:color w:val="000000"/>
          <w:sz w:val="28"/>
          <w:szCs w:val="28"/>
          <w:highlight w:val="none"/>
        </w:rPr>
        <w:t>无须为此向</w:t>
      </w:r>
      <w:r>
        <w:rPr>
          <w:rFonts w:hint="eastAsia" w:ascii="仿宋_GB2312" w:hAnsi="仿宋_GB2312" w:eastAsia="仿宋_GB2312" w:cs="仿宋_GB2312"/>
          <w:color w:val="000000"/>
          <w:sz w:val="28"/>
          <w:szCs w:val="28"/>
          <w:highlight w:val="none"/>
          <w:lang w:eastAsia="zh-CN"/>
        </w:rPr>
        <w:t>乙方</w:t>
      </w:r>
      <w:r>
        <w:rPr>
          <w:rFonts w:hint="eastAsia" w:ascii="仿宋_GB2312" w:hAnsi="仿宋_GB2312" w:eastAsia="仿宋_GB2312" w:cs="仿宋_GB2312"/>
          <w:color w:val="000000"/>
          <w:sz w:val="28"/>
          <w:szCs w:val="28"/>
          <w:highlight w:val="none"/>
        </w:rPr>
        <w:t>承担任何形式的补偿责任。</w:t>
      </w:r>
    </w:p>
    <w:p w14:paraId="7C5C1092">
      <w:pPr>
        <w:spacing w:line="56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w:t>
      </w:r>
      <w:r>
        <w:rPr>
          <w:rFonts w:hint="eastAsia" w:ascii="仿宋_GB2312" w:hAnsi="仿宋_GB2312" w:eastAsia="仿宋_GB2312" w:cs="仿宋_GB2312"/>
          <w:color w:val="000000"/>
          <w:sz w:val="28"/>
          <w:szCs w:val="28"/>
          <w:highlight w:val="none"/>
          <w:lang w:val="en-US" w:eastAsia="zh-CN"/>
        </w:rPr>
        <w:t>四</w:t>
      </w:r>
      <w:r>
        <w:rPr>
          <w:rFonts w:hint="eastAsia" w:ascii="仿宋_GB2312" w:hAnsi="仿宋_GB2312" w:eastAsia="仿宋_GB2312" w:cs="仿宋_GB2312"/>
          <w:color w:val="000000"/>
          <w:sz w:val="28"/>
          <w:szCs w:val="28"/>
          <w:highlight w:val="none"/>
        </w:rPr>
        <w:t>）返还</w:t>
      </w:r>
    </w:p>
    <w:p w14:paraId="3A19C1A9">
      <w:pPr>
        <w:spacing w:line="56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1</w:t>
      </w:r>
      <w:r>
        <w:rPr>
          <w:rFonts w:hint="eastAsia" w:ascii="仿宋_GB2312" w:hAnsi="仿宋_GB2312" w:eastAsia="仿宋_GB2312" w:cs="仿宋_GB2312"/>
          <w:color w:val="000000"/>
          <w:sz w:val="28"/>
          <w:szCs w:val="28"/>
          <w:highlight w:val="none"/>
          <w:lang w:val="en-US" w:eastAsia="zh-CN"/>
        </w:rPr>
        <w:t>.</w:t>
      </w:r>
      <w:r>
        <w:rPr>
          <w:rFonts w:hint="eastAsia" w:ascii="仿宋_GB2312" w:hAnsi="仿宋_GB2312" w:eastAsia="仿宋_GB2312" w:cs="仿宋_GB2312"/>
          <w:color w:val="000000"/>
          <w:sz w:val="28"/>
          <w:szCs w:val="28"/>
          <w:highlight w:val="none"/>
          <w:lang w:eastAsia="zh-CN"/>
        </w:rPr>
        <w:t>经营</w:t>
      </w:r>
      <w:r>
        <w:rPr>
          <w:rFonts w:hint="eastAsia" w:ascii="仿宋_GB2312" w:hAnsi="仿宋_GB2312" w:eastAsia="仿宋_GB2312" w:cs="仿宋_GB2312"/>
          <w:color w:val="000000"/>
          <w:sz w:val="28"/>
          <w:szCs w:val="28"/>
          <w:highlight w:val="none"/>
        </w:rPr>
        <w:t>合同正常履行的，经营期最后一日为退场之日；</w:t>
      </w:r>
      <w:r>
        <w:rPr>
          <w:rFonts w:hint="eastAsia" w:ascii="仿宋_GB2312" w:hAnsi="仿宋_GB2312" w:eastAsia="仿宋_GB2312" w:cs="仿宋_GB2312"/>
          <w:color w:val="000000"/>
          <w:sz w:val="28"/>
          <w:szCs w:val="28"/>
          <w:highlight w:val="none"/>
          <w:lang w:eastAsia="zh-CN"/>
        </w:rPr>
        <w:t>经营</w:t>
      </w:r>
      <w:r>
        <w:rPr>
          <w:rFonts w:hint="eastAsia" w:ascii="仿宋_GB2312" w:hAnsi="仿宋_GB2312" w:eastAsia="仿宋_GB2312" w:cs="仿宋_GB2312"/>
          <w:color w:val="000000"/>
          <w:sz w:val="28"/>
          <w:szCs w:val="28"/>
          <w:highlight w:val="none"/>
        </w:rPr>
        <w:t>合同由双方协商一致解除的，退场之日以双方约定为准；单方解除</w:t>
      </w:r>
      <w:r>
        <w:rPr>
          <w:rFonts w:hint="eastAsia" w:ascii="仿宋_GB2312" w:hAnsi="仿宋_GB2312" w:eastAsia="仿宋_GB2312" w:cs="仿宋_GB2312"/>
          <w:color w:val="000000"/>
          <w:sz w:val="28"/>
          <w:szCs w:val="28"/>
          <w:highlight w:val="none"/>
          <w:lang w:eastAsia="zh-CN"/>
        </w:rPr>
        <w:t>经营</w:t>
      </w:r>
      <w:r>
        <w:rPr>
          <w:rFonts w:hint="eastAsia" w:ascii="仿宋_GB2312" w:hAnsi="仿宋_GB2312" w:eastAsia="仿宋_GB2312" w:cs="仿宋_GB2312"/>
          <w:color w:val="000000"/>
          <w:sz w:val="28"/>
          <w:szCs w:val="28"/>
          <w:highlight w:val="none"/>
        </w:rPr>
        <w:t>合同的，退场之日以</w:t>
      </w:r>
      <w:r>
        <w:rPr>
          <w:rFonts w:hint="eastAsia" w:ascii="仿宋_GB2312" w:hAnsi="仿宋_GB2312" w:eastAsia="仿宋_GB2312" w:cs="仿宋_GB2312"/>
          <w:color w:val="000000"/>
          <w:sz w:val="28"/>
          <w:szCs w:val="28"/>
          <w:highlight w:val="none"/>
          <w:lang w:eastAsia="zh-CN"/>
        </w:rPr>
        <w:t>经营</w:t>
      </w:r>
      <w:r>
        <w:rPr>
          <w:rFonts w:hint="eastAsia" w:ascii="仿宋_GB2312" w:hAnsi="仿宋_GB2312" w:eastAsia="仿宋_GB2312" w:cs="仿宋_GB2312"/>
          <w:color w:val="000000"/>
          <w:sz w:val="28"/>
          <w:szCs w:val="28"/>
          <w:highlight w:val="none"/>
        </w:rPr>
        <w:t>合同约定的相关退场文件载明的日期为准。</w:t>
      </w:r>
    </w:p>
    <w:p w14:paraId="2440B079">
      <w:pPr>
        <w:spacing w:line="56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2</w:t>
      </w:r>
      <w:r>
        <w:rPr>
          <w:rFonts w:hint="eastAsia" w:ascii="仿宋_GB2312" w:hAnsi="仿宋_GB2312" w:eastAsia="仿宋_GB2312" w:cs="仿宋_GB2312"/>
          <w:color w:val="000000"/>
          <w:sz w:val="28"/>
          <w:szCs w:val="28"/>
          <w:highlight w:val="none"/>
          <w:lang w:val="en-US" w:eastAsia="zh-CN"/>
        </w:rPr>
        <w:t>.</w:t>
      </w:r>
      <w:r>
        <w:rPr>
          <w:rFonts w:hint="eastAsia" w:ascii="仿宋_GB2312" w:hAnsi="仿宋_GB2312" w:eastAsia="仿宋_GB2312" w:cs="仿宋_GB2312"/>
          <w:color w:val="000000"/>
          <w:sz w:val="28"/>
          <w:szCs w:val="28"/>
          <w:highlight w:val="none"/>
        </w:rPr>
        <w:t>乙方须在双方约定的退场之日前完成便民服务产业内由其实施的设施设备拆除和垃圾清理，不便拆除且甲方愿意接收的设施设备经双方协商一致后可保留；乙方须对其使用损坏的、由甲方实施的结构和设施设备按照不低于原标准修复后方可返还给甲方。</w:t>
      </w:r>
    </w:p>
    <w:p w14:paraId="12F514EF">
      <w:pPr>
        <w:spacing w:line="56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3</w:t>
      </w:r>
      <w:r>
        <w:rPr>
          <w:rFonts w:hint="eastAsia" w:ascii="仿宋_GB2312" w:hAnsi="仿宋_GB2312" w:eastAsia="仿宋_GB2312" w:cs="仿宋_GB2312"/>
          <w:color w:val="000000"/>
          <w:sz w:val="28"/>
          <w:szCs w:val="28"/>
          <w:highlight w:val="none"/>
          <w:lang w:val="en-US" w:eastAsia="zh-CN"/>
        </w:rPr>
        <w:t>.截止退场之日按约定完成退场（包括但不限于拆除、清理、修复等工作）的，双方对现场设施设备进行共同检查、对电表度数进行确认后双方签订移交表、完善书面移交手续；乙方未按合同约定、撤场通知或其他约定完成退场（包括但不限于拆除、清理、修复等工作）的，甲方有权对现场结构、设施设备、电表度数进行拍照取证后自行开展清场工作，且不对权属于乙方的相关设施设备有任何保存、维护义务，相关处理费用由乙方承担。</w:t>
      </w:r>
    </w:p>
    <w:p w14:paraId="303407B2">
      <w:pPr>
        <w:spacing w:line="560" w:lineRule="exact"/>
        <w:ind w:firstLine="560" w:firstLineChars="200"/>
        <w:rPr>
          <w:rFonts w:ascii="黑体" w:hAnsi="黑体" w:eastAsia="黑体" w:cs="黑体"/>
          <w:color w:val="000000"/>
          <w:sz w:val="28"/>
          <w:szCs w:val="28"/>
          <w:highlight w:val="none"/>
        </w:rPr>
      </w:pPr>
      <w:r>
        <w:rPr>
          <w:rFonts w:hint="eastAsia" w:ascii="黑体" w:hAnsi="黑体" w:eastAsia="黑体" w:cs="黑体"/>
          <w:color w:val="000000"/>
          <w:sz w:val="28"/>
          <w:szCs w:val="28"/>
          <w:highlight w:val="none"/>
        </w:rPr>
        <w:t>文件送达方式</w:t>
      </w:r>
    </w:p>
    <w:p w14:paraId="1119FC2F">
      <w:pPr>
        <w:spacing w:line="560" w:lineRule="exact"/>
        <w:ind w:firstLine="560" w:firstLineChars="20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（一）双方往来文件可采用直接送达和邮寄送达方式，均视为有效。</w:t>
      </w:r>
    </w:p>
    <w:p w14:paraId="015CA255">
      <w:pPr>
        <w:spacing w:line="560" w:lineRule="exact"/>
        <w:ind w:firstLine="560" w:firstLineChars="20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（二）直接送达如拒绝签收的，送出方可将文件张贴在本合同约定的送达地址或接收方经营场所显眼位置处并拍照留存，视为在张贴之日送达。</w:t>
      </w:r>
    </w:p>
    <w:p w14:paraId="137F6E72">
      <w:pPr>
        <w:spacing w:line="56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（三）邮寄送达如无人签收或拒绝签收的，以邮件物流信息显示的达到约定地址之日视为送达。</w:t>
      </w:r>
    </w:p>
    <w:p w14:paraId="03ECE752">
      <w:pPr>
        <w:pStyle w:val="3"/>
        <w:ind w:left="0" w:leftChars="0" w:firstLine="0" w:firstLineChars="0"/>
        <w:rPr>
          <w:rFonts w:hint="eastAsia"/>
          <w:highlight w:val="none"/>
        </w:rPr>
      </w:pPr>
    </w:p>
    <w:p w14:paraId="2B23E57D">
      <w:pPr>
        <w:spacing w:line="560" w:lineRule="exact"/>
        <w:ind w:firstLine="560" w:firstLineChars="200"/>
        <w:rPr>
          <w:rFonts w:hint="eastAsia" w:ascii="仿宋_GB2312" w:hAnsi="仿宋_GB2312" w:eastAsia="仿宋_GB2312" w:cs="仿宋_GB2312"/>
          <w:color w:val="000000"/>
          <w:sz w:val="28"/>
          <w:szCs w:val="28"/>
          <w:highlight w:val="none"/>
        </w:rPr>
      </w:pPr>
    </w:p>
    <w:p w14:paraId="7E33C995">
      <w:pPr>
        <w:spacing w:line="560" w:lineRule="exact"/>
        <w:ind w:firstLine="560" w:firstLineChars="200"/>
        <w:rPr>
          <w:rFonts w:hint="eastAsia" w:ascii="仿宋_GB2312" w:hAnsi="仿宋_GB2312" w:eastAsia="仿宋_GB2312" w:cs="仿宋_GB2312"/>
          <w:color w:val="000000"/>
          <w:sz w:val="28"/>
          <w:szCs w:val="28"/>
          <w:highlight w:val="none"/>
        </w:rPr>
      </w:pPr>
    </w:p>
    <w:p w14:paraId="08E6BB7A">
      <w:pPr>
        <w:rPr>
          <w:rFonts w:hint="eastAsia" w:ascii="仿宋_GB2312" w:hAnsi="仿宋_GB2312" w:eastAsia="仿宋_GB2312" w:cs="仿宋_GB2312"/>
          <w:color w:val="000000"/>
          <w:sz w:val="28"/>
          <w:szCs w:val="28"/>
          <w:highlight w:val="non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Segoe UI Symbol">
    <w:panose1 w:val="020B0502040204020203"/>
    <w:charset w:val="00"/>
    <w:family w:val="swiss"/>
    <w:pitch w:val="default"/>
    <w:sig w:usb0="8000006F" w:usb1="1200FBEF" w:usb2="0064C000" w:usb3="00000002" w:csb0="00000001" w:csb1="4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FE07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Body Text First Indent 2"/>
    <w:basedOn w:val="2"/>
    <w:next w:val="1"/>
    <w:qFormat/>
    <w:uiPriority w:val="0"/>
    <w:pPr>
      <w:spacing w:line="360" w:lineRule="auto"/>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1</TotalTime>
  <ScaleCrop>false</ScaleCrop>
  <LinksUpToDate>false</LinksUpToDate>
  <CharactersWithSpaces>0</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怡~ (^.^)</cp:lastModifiedBy>
  <dcterms:modified xsi:type="dcterms:W3CDTF">2025-11-03T07:45:35Z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KSOTemplateDocerSaveRecord">
    <vt:lpwstr>eyJoZGlkIjoiYTkwMzAxYzNjYWIxZDY1MGVhZTVmM2JmNTNjNGQ5MmQiLCJ1c2VySWQiOiI0NTA3MzA5NzYifQ==</vt:lpwstr>
  </property>
  <property fmtid="{D5CDD505-2E9C-101B-9397-08002B2CF9AE}" pid="4" name="ICV">
    <vt:lpwstr>464FCA47E325401CAADA526A9F187925_12</vt:lpwstr>
  </property>
</Properties>
</file>