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02D32">
      <w:pPr>
        <w:autoSpaceDE w:val="0"/>
        <w:autoSpaceDN w:val="0"/>
        <w:adjustRightInd w:val="0"/>
        <w:spacing w:line="240" w:lineRule="auto"/>
        <w:rPr>
          <w:rFonts w:hint="default"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 xml:space="preserve">出租标的现状 </w:t>
      </w:r>
    </w:p>
    <w:p w14:paraId="09837A39">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1.出租标的按现状出租，现场仅完成了主体、出入口（下沉式广场）和风井混凝土结构施工并预留水电接入条件，具体实施及预留情况详见《贵阳轨道交通1号线贵阳火车站物业空间设置情况及预留措施统计表》。</w:t>
      </w:r>
    </w:p>
    <w:p w14:paraId="0D4F93E5">
      <w:pPr>
        <w:overflowPunct/>
        <w:autoSpaceDE/>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须自行</w:t>
      </w:r>
      <w:r>
        <w:rPr>
          <w:rFonts w:hint="eastAsia" w:ascii="仿宋_GB2312" w:hAnsi="仿宋_GB2312" w:eastAsia="仿宋_GB2312" w:cs="仿宋_GB2312"/>
          <w:color w:val="auto"/>
          <w:kern w:val="0"/>
          <w:sz w:val="28"/>
          <w:szCs w:val="28"/>
          <w:highlight w:val="none"/>
          <w:lang w:val="en-US" w:eastAsia="zh-CN"/>
        </w:rPr>
        <w:t>完成</w:t>
      </w:r>
      <w:r>
        <w:rPr>
          <w:rFonts w:hint="eastAsia" w:ascii="仿宋_GB2312" w:hAnsi="仿宋_GB2312" w:eastAsia="仿宋_GB2312" w:cs="仿宋_GB2312"/>
          <w:color w:val="auto"/>
          <w:kern w:val="0"/>
          <w:sz w:val="28"/>
          <w:szCs w:val="28"/>
          <w:highlight w:val="none"/>
          <w:lang w:eastAsia="zh-CN"/>
        </w:rPr>
        <w:t>出租标的</w:t>
      </w:r>
      <w:r>
        <w:rPr>
          <w:rFonts w:hint="eastAsia" w:ascii="仿宋_GB2312" w:hAnsi="仿宋_GB2312" w:eastAsia="仿宋_GB2312" w:cs="仿宋_GB2312"/>
          <w:color w:val="auto"/>
          <w:kern w:val="0"/>
          <w:sz w:val="28"/>
          <w:szCs w:val="28"/>
          <w:highlight w:val="none"/>
        </w:rPr>
        <w:t>达到经营条件所需的其他工程建设、装饰装修及设施设备安装</w:t>
      </w:r>
      <w:r>
        <w:rPr>
          <w:rFonts w:hint="eastAsia" w:ascii="仿宋_GB2312" w:hAnsi="仿宋_GB2312" w:eastAsia="仿宋_GB2312" w:cs="仿宋_GB2312"/>
          <w:color w:val="auto"/>
          <w:kern w:val="0"/>
          <w:sz w:val="28"/>
          <w:szCs w:val="28"/>
          <w:highlight w:val="none"/>
          <w:lang w:eastAsia="zh-CN"/>
        </w:rPr>
        <w:t>，包含但不限于</w:t>
      </w:r>
      <w:r>
        <w:rPr>
          <w:rFonts w:hint="eastAsia" w:ascii="仿宋_GB2312" w:hAnsi="仿宋_GB2312" w:eastAsia="仿宋_GB2312" w:cs="仿宋_GB2312"/>
          <w:color w:val="auto"/>
          <w:kern w:val="0"/>
          <w:sz w:val="28"/>
          <w:szCs w:val="28"/>
          <w:highlight w:val="none"/>
          <w:lang w:val="en-US" w:eastAsia="zh-CN"/>
        </w:rPr>
        <w:t>截止目前出租人尚未</w:t>
      </w:r>
      <w:r>
        <w:rPr>
          <w:rFonts w:hint="eastAsia" w:ascii="仿宋_GB2312" w:hAnsi="仿宋_GB2312" w:eastAsia="仿宋_GB2312" w:cs="仿宋_GB2312"/>
          <w:color w:val="auto"/>
          <w:kern w:val="0"/>
          <w:sz w:val="28"/>
          <w:szCs w:val="28"/>
          <w:highlight w:val="none"/>
          <w:lang w:eastAsia="zh-CN"/>
        </w:rPr>
        <w:t>实施的物业出入口顶盖、外立面装饰、</w:t>
      </w:r>
      <w:r>
        <w:rPr>
          <w:rFonts w:hint="eastAsia" w:ascii="仿宋_GB2312" w:hAnsi="仿宋_GB2312" w:eastAsia="仿宋_GB2312" w:cs="仿宋_GB2312"/>
          <w:color w:val="auto"/>
          <w:kern w:val="0"/>
          <w:sz w:val="28"/>
          <w:szCs w:val="28"/>
          <w:highlight w:val="none"/>
          <w:lang w:val="en-US" w:eastAsia="zh-CN"/>
        </w:rPr>
        <w:t>冷却塔、交通导向标识、与市政设施接驳、</w:t>
      </w:r>
      <w:r>
        <w:rPr>
          <w:rFonts w:hint="eastAsia" w:ascii="仿宋_GB2312" w:hAnsi="仿宋_GB2312" w:eastAsia="仿宋_GB2312" w:cs="仿宋_GB2312"/>
          <w:color w:val="auto"/>
          <w:kern w:val="0"/>
          <w:sz w:val="28"/>
          <w:szCs w:val="28"/>
          <w:highlight w:val="none"/>
          <w:lang w:eastAsia="zh-CN"/>
        </w:rPr>
        <w:t>给排水、强弱电、通风空调、消防设备设施、电扶梯、</w:t>
      </w:r>
      <w:r>
        <w:rPr>
          <w:rFonts w:hint="eastAsia" w:ascii="仿宋_GB2312" w:hAnsi="仿宋_GB2312" w:eastAsia="仿宋_GB2312" w:cs="仿宋_GB2312"/>
          <w:color w:val="auto"/>
          <w:kern w:val="0"/>
          <w:sz w:val="28"/>
          <w:szCs w:val="28"/>
          <w:highlight w:val="none"/>
          <w:lang w:val="en-US" w:eastAsia="zh-CN"/>
        </w:rPr>
        <w:t>垂梯</w:t>
      </w:r>
      <w:r>
        <w:rPr>
          <w:rFonts w:hint="eastAsia" w:ascii="仿宋_GB2312" w:hAnsi="仿宋_GB2312" w:eastAsia="仿宋_GB2312" w:cs="仿宋_GB2312"/>
          <w:color w:val="auto"/>
          <w:kern w:val="0"/>
          <w:sz w:val="28"/>
          <w:szCs w:val="28"/>
          <w:highlight w:val="none"/>
          <w:lang w:eastAsia="zh-CN"/>
        </w:rPr>
        <w:t>等工程内容的设计、采购、安装</w:t>
      </w:r>
      <w:r>
        <w:rPr>
          <w:rFonts w:hint="eastAsia" w:ascii="仿宋_GB2312" w:hAnsi="仿宋_GB2312" w:eastAsia="仿宋_GB2312" w:cs="仿宋_GB2312"/>
          <w:color w:val="auto"/>
          <w:kern w:val="0"/>
          <w:sz w:val="28"/>
          <w:szCs w:val="28"/>
          <w:highlight w:val="none"/>
          <w:lang w:val="en-US" w:eastAsia="zh-CN"/>
        </w:rPr>
        <w:t>和</w:t>
      </w:r>
      <w:r>
        <w:rPr>
          <w:rFonts w:hint="eastAsia" w:ascii="仿宋_GB2312" w:hAnsi="仿宋_GB2312" w:eastAsia="仿宋_GB2312" w:cs="仿宋_GB2312"/>
          <w:color w:val="auto"/>
          <w:kern w:val="0"/>
          <w:sz w:val="28"/>
          <w:szCs w:val="28"/>
          <w:highlight w:val="none"/>
          <w:lang w:eastAsia="zh-CN"/>
        </w:rPr>
        <w:t>施工；</w:t>
      </w:r>
      <w:r>
        <w:rPr>
          <w:rFonts w:hint="eastAsia" w:ascii="仿宋_GB2312" w:hAnsi="仿宋_GB2312" w:eastAsia="仿宋_GB2312" w:cs="仿宋_GB2312"/>
          <w:color w:val="auto"/>
          <w:kern w:val="0"/>
          <w:sz w:val="28"/>
          <w:szCs w:val="28"/>
          <w:highlight w:val="none"/>
          <w:lang w:val="en-US" w:eastAsia="zh-CN"/>
        </w:rPr>
        <w:t>同时，负责按原设计预留要求</w:t>
      </w:r>
      <w:r>
        <w:rPr>
          <w:rFonts w:hint="eastAsia" w:ascii="仿宋_GB2312" w:hAnsi="仿宋_GB2312" w:eastAsia="仿宋_GB2312" w:cs="仿宋_GB2312"/>
          <w:color w:val="auto"/>
          <w:kern w:val="0"/>
          <w:sz w:val="28"/>
          <w:szCs w:val="28"/>
          <w:highlight w:val="none"/>
          <w:lang w:eastAsia="zh-CN"/>
        </w:rPr>
        <w:t>破除</w:t>
      </w:r>
      <w:r>
        <w:rPr>
          <w:rFonts w:hint="eastAsia" w:ascii="仿宋_GB2312" w:hAnsi="仿宋_GB2312" w:eastAsia="仿宋_GB2312" w:cs="仿宋_GB2312"/>
          <w:color w:val="auto"/>
          <w:kern w:val="0"/>
          <w:sz w:val="28"/>
          <w:szCs w:val="28"/>
          <w:highlight w:val="none"/>
          <w:lang w:val="en-US" w:eastAsia="zh-CN"/>
        </w:rPr>
        <w:t>消防泵房旁的钢筋混凝土墙体及楼梯（尺寸约为5.50m×3.15m,工程量约20m³）、打通原预留设备区往风井方向的</w:t>
      </w:r>
      <w:r>
        <w:rPr>
          <w:rFonts w:hint="eastAsia" w:ascii="仿宋_GB2312" w:hAnsi="仿宋_GB2312" w:eastAsia="仿宋_GB2312" w:cs="仿宋_GB2312"/>
          <w:color w:val="auto"/>
          <w:kern w:val="0"/>
          <w:sz w:val="28"/>
          <w:szCs w:val="28"/>
          <w:highlight w:val="none"/>
          <w:lang w:eastAsia="zh-CN"/>
        </w:rPr>
        <w:t>砌体墙（</w:t>
      </w:r>
      <w:r>
        <w:rPr>
          <w:rFonts w:hint="eastAsia" w:ascii="仿宋_GB2312" w:hAnsi="仿宋_GB2312" w:eastAsia="仿宋_GB2312" w:cs="仿宋_GB2312"/>
          <w:color w:val="auto"/>
          <w:kern w:val="0"/>
          <w:sz w:val="28"/>
          <w:szCs w:val="28"/>
          <w:highlight w:val="none"/>
          <w:lang w:val="en-US" w:eastAsia="zh-CN"/>
        </w:rPr>
        <w:t>具体尺寸和工程量以承租人设计方案为准</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按照相关规范完成下沉式广场附近的</w:t>
      </w:r>
      <w:r>
        <w:rPr>
          <w:rFonts w:hint="eastAsia" w:ascii="仿宋_GB2312" w:hAnsi="仿宋_GB2312" w:eastAsia="仿宋_GB2312" w:cs="仿宋_GB2312"/>
          <w:color w:val="auto"/>
          <w:kern w:val="0"/>
          <w:sz w:val="28"/>
          <w:szCs w:val="28"/>
          <w:highlight w:val="none"/>
          <w:lang w:eastAsia="zh-CN"/>
        </w:rPr>
        <w:t>物业出入口</w:t>
      </w:r>
      <w:r>
        <w:rPr>
          <w:rFonts w:hint="eastAsia" w:ascii="仿宋_GB2312" w:hAnsi="仿宋_GB2312" w:eastAsia="仿宋_GB2312" w:cs="仿宋_GB2312"/>
          <w:color w:val="auto"/>
          <w:kern w:val="0"/>
          <w:sz w:val="28"/>
          <w:szCs w:val="28"/>
          <w:highlight w:val="none"/>
          <w:lang w:val="en-US" w:eastAsia="zh-CN"/>
        </w:rPr>
        <w:t>处的人防门（预留尺寸约8.50m×2.6m）。并承担上述工程建设及</w:t>
      </w:r>
      <w:r>
        <w:rPr>
          <w:rFonts w:hint="eastAsia" w:ascii="仿宋_GB2312" w:hAnsi="仿宋_GB2312" w:eastAsia="仿宋_GB2312" w:cs="仿宋_GB2312"/>
          <w:color w:val="auto"/>
          <w:kern w:val="0"/>
          <w:sz w:val="28"/>
          <w:szCs w:val="28"/>
          <w:highlight w:val="none"/>
          <w:lang w:eastAsia="zh-CN"/>
        </w:rPr>
        <w:t>维修维护</w:t>
      </w:r>
      <w:r>
        <w:rPr>
          <w:rFonts w:hint="eastAsia" w:ascii="仿宋_GB2312" w:hAnsi="仿宋_GB2312" w:eastAsia="仿宋_GB2312" w:cs="仿宋_GB2312"/>
          <w:color w:val="auto"/>
          <w:kern w:val="0"/>
          <w:sz w:val="28"/>
          <w:szCs w:val="28"/>
          <w:highlight w:val="none"/>
          <w:lang w:val="en-US" w:eastAsia="zh-CN"/>
        </w:rPr>
        <w:t>相关</w:t>
      </w:r>
      <w:r>
        <w:rPr>
          <w:rFonts w:hint="eastAsia" w:ascii="仿宋_GB2312" w:hAnsi="仿宋_GB2312" w:eastAsia="仿宋_GB2312" w:cs="仿宋_GB2312"/>
          <w:color w:val="auto"/>
          <w:kern w:val="0"/>
          <w:sz w:val="28"/>
          <w:szCs w:val="28"/>
          <w:highlight w:val="none"/>
          <w:lang w:eastAsia="zh-CN"/>
        </w:rPr>
        <w:t>费用。</w:t>
      </w:r>
    </w:p>
    <w:p w14:paraId="75502962">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出租标的在轨道主业实施阶段仅初步按地下商业相关要求完成了防火分区划分并实施了疏散楼梯的土建结构，取得相应施工图设计文件审查合格证书﹐但未实施建筑工程消防验收相关设施设备，承租方在不影响轨道交通功能需求及运营安全的前提下,须根据自身业态需求进一步深化装修施工图、划分防火分区等方案设计及建设工作，并自行按国家和地方法规及政策要求完善相应审批手续。</w:t>
      </w:r>
    </w:p>
    <w:p w14:paraId="5D00AF9F">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lang w:eastAsia="zh-CN"/>
        </w:rPr>
        <w:t>如</w:t>
      </w:r>
      <w:r>
        <w:rPr>
          <w:rFonts w:hint="eastAsia" w:ascii="仿宋_GB2312" w:hAnsi="仿宋_GB2312" w:eastAsia="仿宋_GB2312" w:cs="仿宋_GB2312"/>
          <w:color w:val="auto"/>
          <w:kern w:val="0"/>
          <w:sz w:val="28"/>
          <w:szCs w:val="28"/>
          <w:highlight w:val="none"/>
          <w:lang w:val="en-US" w:eastAsia="zh-CN"/>
        </w:rPr>
        <w:t>承租人需对出租人实施的土建结构或设施设备进行拆除或改造，须获得出租人书面同意，由承租人负责实施并承担相应费用。</w:t>
      </w:r>
    </w:p>
    <w:p w14:paraId="6C647F03">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5.本次出租</w:t>
      </w:r>
      <w:r>
        <w:rPr>
          <w:rFonts w:hint="eastAsia" w:ascii="仿宋_GB2312" w:hAnsi="仿宋_GB2312" w:eastAsia="仿宋_GB2312" w:cs="仿宋_GB2312"/>
          <w:color w:val="auto"/>
          <w:kern w:val="0"/>
          <w:sz w:val="28"/>
          <w:szCs w:val="28"/>
          <w:highlight w:val="none"/>
          <w:lang w:eastAsia="zh-CN"/>
        </w:rPr>
        <w:t>标的</w:t>
      </w:r>
      <w:r>
        <w:rPr>
          <w:rFonts w:hint="eastAsia" w:ascii="仿宋_GB2312" w:hAnsi="仿宋_GB2312" w:eastAsia="仿宋_GB2312" w:cs="仿宋_GB2312"/>
          <w:color w:val="auto"/>
          <w:kern w:val="0"/>
          <w:sz w:val="28"/>
          <w:szCs w:val="28"/>
          <w:highlight w:val="none"/>
          <w:lang w:val="en-US" w:eastAsia="zh-CN"/>
        </w:rPr>
        <w:t>已取得的相关行政审批手续有：</w:t>
      </w:r>
    </w:p>
    <w:p w14:paraId="5A4E7F7D">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（1）商业报规总图；</w:t>
      </w:r>
    </w:p>
    <w:p w14:paraId="2E454316">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（2）用地性质变更为商业的国有土地作价出资合同（筑地资合字[2025]002号）；</w:t>
      </w:r>
    </w:p>
    <w:p w14:paraId="3EECAED3">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（3）商业性质的建设用地规划许可证；</w:t>
      </w:r>
    </w:p>
    <w:p w14:paraId="2E351CF6">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（4）建设工程消防设计审核意见书（筑公消审字[2018]第0497号）</w:t>
      </w:r>
      <w:r>
        <w:rPr>
          <w:rFonts w:hint="eastAsia" w:ascii="仿宋_GB2312" w:hAnsi="仿宋_GB2312" w:eastAsia="仿宋_GB2312" w:cs="仿宋_GB2312"/>
          <w:color w:val="auto"/>
          <w:kern w:val="0"/>
          <w:sz w:val="28"/>
          <w:szCs w:val="28"/>
          <w:highlight w:val="none"/>
          <w:lang w:eastAsia="zh-CN"/>
        </w:rPr>
        <w:t>。</w:t>
      </w:r>
    </w:p>
    <w:p w14:paraId="32E4FEB5">
      <w:pPr>
        <w:autoSpaceDE w:val="0"/>
        <w:autoSpaceDN w:val="0"/>
        <w:adjustRightInd w:val="0"/>
        <w:spacing w:line="240" w:lineRule="auto"/>
        <w:rPr>
          <w:rFonts w:hint="eastAsia" w:ascii="黑体" w:hAnsi="黑体" w:eastAsia="黑体" w:cs="黑体"/>
          <w:b w:val="0"/>
          <w:bCs w:val="0"/>
          <w:color w:val="auto"/>
          <w:kern w:val="2"/>
          <w:sz w:val="28"/>
          <w:szCs w:val="28"/>
          <w:highlight w:val="none"/>
        </w:rPr>
      </w:pPr>
      <w:r>
        <w:rPr>
          <w:rFonts w:hint="eastAsia" w:ascii="黑体" w:hAnsi="黑体" w:eastAsia="黑体" w:cs="黑体"/>
          <w:b w:val="0"/>
          <w:bCs w:val="0"/>
          <w:color w:val="auto"/>
          <w:kern w:val="2"/>
          <w:sz w:val="28"/>
          <w:szCs w:val="28"/>
          <w:highlight w:val="none"/>
        </w:rPr>
        <w:t>租赁用途</w:t>
      </w:r>
    </w:p>
    <w:p w14:paraId="1E9B698D">
      <w:pPr>
        <w:overflowPunct/>
        <w:autoSpaceDE/>
        <w:spacing w:line="360" w:lineRule="auto"/>
        <w:ind w:right="42" w:rightChars="20" w:firstLine="560" w:firstLineChars="200"/>
        <w:jc w:val="left"/>
        <w:rPr>
          <w:rFonts w:hint="eastAsia" w:ascii="仿宋_GB2312" w:hAnsi="仿宋_GB2312" w:eastAsia="仿宋_GB2312" w:cs="仿宋_GB2312"/>
          <w:i w:val="0"/>
          <w:iCs w:val="0"/>
          <w:caps w:val="0"/>
          <w:color w:val="auto"/>
          <w:spacing w:val="0"/>
          <w:kern w:val="0"/>
          <w:sz w:val="28"/>
          <w:szCs w:val="28"/>
          <w:highlight w:val="none"/>
          <w:shd w:val="clear"/>
        </w:rPr>
      </w:pPr>
      <w:r>
        <w:rPr>
          <w:rFonts w:hint="eastAsia" w:ascii="仿宋_GB2312" w:hAnsi="仿宋_GB2312" w:eastAsia="仿宋_GB2312" w:cs="仿宋_GB2312"/>
          <w:color w:val="auto"/>
          <w:kern w:val="0"/>
          <w:sz w:val="28"/>
          <w:szCs w:val="28"/>
          <w:highlight w:val="none"/>
          <w:lang w:val="en-US" w:eastAsia="zh-CN"/>
        </w:rPr>
        <w:t>出租人将出租标的出租给承租人，</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有权以自身名义在租赁范围内进行商业经营、命名及广告设置，但需遵守法律法规及</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的相关管理</w:t>
      </w:r>
      <w:r>
        <w:rPr>
          <w:rFonts w:hint="eastAsia" w:ascii="仿宋_GB2312" w:hAnsi="仿宋_GB2312" w:eastAsia="仿宋_GB2312" w:cs="仿宋_GB2312"/>
          <w:i w:val="0"/>
          <w:iCs w:val="0"/>
          <w:caps w:val="0"/>
          <w:color w:val="auto"/>
          <w:spacing w:val="0"/>
          <w:kern w:val="0"/>
          <w:sz w:val="28"/>
          <w:szCs w:val="28"/>
          <w:highlight w:val="none"/>
          <w:shd w:val="clear"/>
        </w:rPr>
        <w:t>规定，不得损害</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rPr>
        <w:t>权益。</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对经营活动负责并承担</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相关</w:t>
      </w:r>
      <w:r>
        <w:rPr>
          <w:rFonts w:hint="eastAsia" w:ascii="仿宋_GB2312" w:hAnsi="仿宋_GB2312" w:eastAsia="仿宋_GB2312" w:cs="仿宋_GB2312"/>
          <w:i w:val="0"/>
          <w:iCs w:val="0"/>
          <w:caps w:val="0"/>
          <w:color w:val="auto"/>
          <w:spacing w:val="0"/>
          <w:kern w:val="0"/>
          <w:sz w:val="28"/>
          <w:szCs w:val="28"/>
          <w:highlight w:val="none"/>
          <w:shd w:val="clear"/>
        </w:rPr>
        <w:t>法律责任。</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rPr>
        <w:t>有权</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对承租人的经营和安全生产工作进行</w:t>
      </w:r>
      <w:r>
        <w:rPr>
          <w:rFonts w:hint="eastAsia" w:ascii="仿宋_GB2312" w:hAnsi="仿宋_GB2312" w:eastAsia="仿宋_GB2312" w:cs="仿宋_GB2312"/>
          <w:i w:val="0"/>
          <w:iCs w:val="0"/>
          <w:caps w:val="0"/>
          <w:color w:val="auto"/>
          <w:spacing w:val="0"/>
          <w:kern w:val="0"/>
          <w:sz w:val="28"/>
          <w:szCs w:val="28"/>
          <w:highlight w:val="none"/>
          <w:shd w:val="clear"/>
        </w:rPr>
        <w:t>监督，</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如</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违规需</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及时整改</w:t>
      </w:r>
      <w:r>
        <w:rPr>
          <w:rFonts w:hint="eastAsia" w:ascii="仿宋_GB2312" w:hAnsi="仿宋_GB2312" w:eastAsia="仿宋_GB2312" w:cs="仿宋_GB2312"/>
          <w:i w:val="0"/>
          <w:iCs w:val="0"/>
          <w:caps w:val="0"/>
          <w:color w:val="auto"/>
          <w:spacing w:val="0"/>
          <w:kern w:val="0"/>
          <w:sz w:val="28"/>
          <w:szCs w:val="28"/>
          <w:highlight w:val="none"/>
          <w:shd w:val="clear"/>
          <w:lang w:eastAsia="zh-CN"/>
        </w:rPr>
        <w:t>；</w:t>
      </w:r>
      <w:r>
        <w:rPr>
          <w:rFonts w:hint="eastAsia" w:ascii="仿宋_GB2312" w:hAnsi="仿宋_GB2312" w:eastAsia="仿宋_GB2312" w:cs="仿宋_GB2312"/>
          <w:i w:val="0"/>
          <w:iCs w:val="0"/>
          <w:caps w:val="0"/>
          <w:color w:val="auto"/>
          <w:spacing w:val="0"/>
          <w:kern w:val="0"/>
          <w:sz w:val="28"/>
          <w:szCs w:val="28"/>
          <w:highlight w:val="none"/>
          <w:shd w:val="clear"/>
        </w:rPr>
        <w:t>情节严重</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且未有效整改的出租人有权</w:t>
      </w:r>
      <w:r>
        <w:rPr>
          <w:rFonts w:hint="eastAsia" w:ascii="仿宋_GB2312" w:hAnsi="仿宋_GB2312" w:eastAsia="仿宋_GB2312" w:cs="仿宋_GB2312"/>
          <w:i w:val="0"/>
          <w:iCs w:val="0"/>
          <w:caps w:val="0"/>
          <w:color w:val="auto"/>
          <w:spacing w:val="0"/>
          <w:kern w:val="0"/>
          <w:sz w:val="28"/>
          <w:szCs w:val="28"/>
          <w:highlight w:val="none"/>
          <w:shd w:val="clear"/>
        </w:rPr>
        <w:t>终止合同并</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要求承租人承担相应</w:t>
      </w:r>
      <w:r>
        <w:rPr>
          <w:rFonts w:hint="eastAsia" w:ascii="仿宋_GB2312" w:hAnsi="仿宋_GB2312" w:eastAsia="仿宋_GB2312" w:cs="仿宋_GB2312"/>
          <w:i w:val="0"/>
          <w:iCs w:val="0"/>
          <w:caps w:val="0"/>
          <w:color w:val="auto"/>
          <w:spacing w:val="0"/>
          <w:kern w:val="0"/>
          <w:sz w:val="28"/>
          <w:szCs w:val="28"/>
          <w:highlight w:val="none"/>
          <w:shd w:val="clear"/>
        </w:rPr>
        <w:t>赔偿。</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使用</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的</w:t>
      </w:r>
      <w:r>
        <w:rPr>
          <w:rFonts w:hint="eastAsia" w:ascii="仿宋_GB2312" w:hAnsi="仿宋_GB2312" w:eastAsia="仿宋_GB2312" w:cs="仿宋_GB2312"/>
          <w:i w:val="0"/>
          <w:iCs w:val="0"/>
          <w:caps w:val="0"/>
          <w:color w:val="auto"/>
          <w:spacing w:val="0"/>
          <w:kern w:val="0"/>
          <w:sz w:val="28"/>
          <w:szCs w:val="28"/>
          <w:highlight w:val="none"/>
          <w:shd w:val="clear"/>
        </w:rPr>
        <w:t>名称和</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在出租标的内自行对外发布的</w:t>
      </w:r>
      <w:r>
        <w:rPr>
          <w:rFonts w:hint="eastAsia" w:ascii="仿宋_GB2312" w:hAnsi="仿宋_GB2312" w:eastAsia="仿宋_GB2312" w:cs="仿宋_GB2312"/>
          <w:i w:val="0"/>
          <w:iCs w:val="0"/>
          <w:caps w:val="0"/>
          <w:color w:val="auto"/>
          <w:spacing w:val="0"/>
          <w:kern w:val="0"/>
          <w:sz w:val="28"/>
          <w:szCs w:val="28"/>
          <w:highlight w:val="none"/>
          <w:shd w:val="clear"/>
        </w:rPr>
        <w:t>广告需</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送</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审查备案</w:t>
      </w:r>
      <w:r>
        <w:rPr>
          <w:rFonts w:hint="eastAsia" w:ascii="仿宋_GB2312" w:hAnsi="仿宋_GB2312" w:eastAsia="仿宋_GB2312" w:cs="仿宋_GB2312"/>
          <w:i w:val="0"/>
          <w:iCs w:val="0"/>
          <w:caps w:val="0"/>
          <w:color w:val="auto"/>
          <w:spacing w:val="0"/>
          <w:kern w:val="0"/>
          <w:sz w:val="28"/>
          <w:szCs w:val="28"/>
          <w:highlight w:val="none"/>
          <w:shd w:val="clear"/>
        </w:rPr>
        <w:t>，合同终止后应立即撤除相关标识和广告，否则</w:t>
      </w:r>
      <w:r>
        <w:rPr>
          <w:rFonts w:hint="eastAsia" w:ascii="仿宋_GB2312" w:hAnsi="仿宋_GB2312" w:eastAsia="仿宋_GB2312" w:cs="仿宋_GB2312"/>
          <w:i w:val="0"/>
          <w:iCs w:val="0"/>
          <w:caps w:val="0"/>
          <w:color w:val="auto"/>
          <w:spacing w:val="0"/>
          <w:kern w:val="0"/>
          <w:sz w:val="28"/>
          <w:szCs w:val="28"/>
          <w:highlight w:val="none"/>
          <w:shd w:val="clear"/>
          <w:lang w:eastAsia="zh-CN"/>
        </w:rPr>
        <w:t>出租人</w:t>
      </w:r>
      <w:r>
        <w:rPr>
          <w:rFonts w:hint="eastAsia" w:ascii="仿宋_GB2312" w:hAnsi="仿宋_GB2312" w:eastAsia="仿宋_GB2312" w:cs="仿宋_GB2312"/>
          <w:i w:val="0"/>
          <w:iCs w:val="0"/>
          <w:caps w:val="0"/>
          <w:color w:val="auto"/>
          <w:spacing w:val="0"/>
          <w:kern w:val="0"/>
          <w:sz w:val="28"/>
          <w:szCs w:val="28"/>
          <w:highlight w:val="none"/>
          <w:shd w:val="clear"/>
        </w:rPr>
        <w:t>有权</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自行</w:t>
      </w:r>
      <w:r>
        <w:rPr>
          <w:rFonts w:hint="eastAsia" w:ascii="仿宋_GB2312" w:hAnsi="仿宋_GB2312" w:eastAsia="仿宋_GB2312" w:cs="仿宋_GB2312"/>
          <w:i w:val="0"/>
          <w:iCs w:val="0"/>
          <w:caps w:val="0"/>
          <w:color w:val="auto"/>
          <w:spacing w:val="0"/>
          <w:kern w:val="0"/>
          <w:sz w:val="28"/>
          <w:szCs w:val="28"/>
          <w:highlight w:val="none"/>
          <w:shd w:val="clear"/>
        </w:rPr>
        <w:t>处理并要求</w:t>
      </w:r>
      <w:r>
        <w:rPr>
          <w:rFonts w:hint="eastAsia" w:ascii="仿宋_GB2312" w:hAnsi="仿宋_GB2312" w:eastAsia="仿宋_GB2312" w:cs="仿宋_GB2312"/>
          <w:i w:val="0"/>
          <w:iCs w:val="0"/>
          <w:caps w:val="0"/>
          <w:color w:val="auto"/>
          <w:spacing w:val="0"/>
          <w:kern w:val="0"/>
          <w:sz w:val="28"/>
          <w:szCs w:val="28"/>
          <w:highlight w:val="none"/>
          <w:shd w:val="clear"/>
          <w:lang w:eastAsia="zh-CN"/>
        </w:rPr>
        <w:t>承租人</w:t>
      </w:r>
      <w:r>
        <w:rPr>
          <w:rFonts w:hint="eastAsia" w:ascii="仿宋_GB2312" w:hAnsi="仿宋_GB2312" w:eastAsia="仿宋_GB2312" w:cs="仿宋_GB2312"/>
          <w:i w:val="0"/>
          <w:iCs w:val="0"/>
          <w:caps w:val="0"/>
          <w:color w:val="auto"/>
          <w:spacing w:val="0"/>
          <w:kern w:val="0"/>
          <w:sz w:val="28"/>
          <w:szCs w:val="28"/>
          <w:highlight w:val="none"/>
          <w:shd w:val="clear"/>
        </w:rPr>
        <w:t>承担</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相应</w:t>
      </w:r>
      <w:r>
        <w:rPr>
          <w:rFonts w:hint="eastAsia" w:ascii="仿宋_GB2312" w:hAnsi="仿宋_GB2312" w:eastAsia="仿宋_GB2312" w:cs="仿宋_GB2312"/>
          <w:i w:val="0"/>
          <w:iCs w:val="0"/>
          <w:caps w:val="0"/>
          <w:color w:val="auto"/>
          <w:spacing w:val="0"/>
          <w:kern w:val="0"/>
          <w:sz w:val="28"/>
          <w:szCs w:val="28"/>
          <w:highlight w:val="none"/>
          <w:shd w:val="clear"/>
        </w:rPr>
        <w:t>费用。</w:t>
      </w:r>
    </w:p>
    <w:p w14:paraId="3011059C">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（一）商业经营</w:t>
      </w:r>
    </w:p>
    <w:p w14:paraId="35150ED5">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出租人授予承租人在经营准备期、租赁期限、租赁经营范围内商业资源使用权利，包括但不限于按照约定进行项目商业资源的规划、建设、经营、维护等。</w:t>
      </w:r>
    </w:p>
    <w:p w14:paraId="7DD52FEB">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（二）命名</w:t>
      </w:r>
    </w:p>
    <w:p w14:paraId="02E0DBB7">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出租人授予承租人在经营准备期、租赁期限、租赁经营范围内出租标的的命名权利。</w:t>
      </w:r>
    </w:p>
    <w:p w14:paraId="491E655A">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（三）广告资源设置</w:t>
      </w:r>
    </w:p>
    <w:p w14:paraId="311B94ED">
      <w:pPr>
        <w:spacing w:line="360" w:lineRule="auto"/>
        <w:ind w:right="42"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1.出租人授予承租人在经营准备期、租赁期限、租赁经营范围内进行广告资源设置和开发使用权利,发布内容仅限于涉及该出租标的商户经营产品或商户相关推广信息。</w:t>
      </w:r>
    </w:p>
    <w:p w14:paraId="0A41C712">
      <w:pPr>
        <w:spacing w:line="360" w:lineRule="auto"/>
        <w:ind w:right="42" w:rightChars="20" w:firstLine="560" w:firstLineChars="200"/>
        <w:jc w:val="left"/>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出租人有权要求承租人在出租标的内发布广告信息，发布量不超过出租标的内建成的各种广告形式总量的30%，发布的信息可包括出租人自身推广信息、公益广告、政府部门安排的宣传内容等，承租人应严格按照要求执行并承担相关广告制作及发布所产生的费用。</w:t>
      </w:r>
    </w:p>
    <w:p w14:paraId="6286FB76">
      <w:pPr>
        <w:autoSpaceDE w:val="0"/>
        <w:autoSpaceDN w:val="0"/>
        <w:adjustRightInd w:val="0"/>
        <w:spacing w:line="240" w:lineRule="auto"/>
        <w:rPr>
          <w:rFonts w:hint="eastAsia"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挂牌价格</w:t>
      </w:r>
    </w:p>
    <w:p w14:paraId="51ED8D5B">
      <w:pPr>
        <w:numPr>
          <w:ilvl w:val="-1"/>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挂牌底价为出租标的首年租金（</w:t>
      </w:r>
      <w:r>
        <w:rPr>
          <w:rFonts w:hint="eastAsia" w:ascii="仿宋_GB2312" w:hAnsi="仿宋_GB2312" w:eastAsia="仿宋_GB2312" w:cs="仿宋_GB2312"/>
          <w:color w:val="auto"/>
          <w:kern w:val="0"/>
          <w:sz w:val="28"/>
          <w:szCs w:val="28"/>
          <w:highlight w:val="none"/>
          <w:lang w:val="en-US" w:eastAsia="zh-CN" w:bidi="ar"/>
        </w:rPr>
        <w:t>674118.72</w:t>
      </w:r>
      <w:r>
        <w:rPr>
          <w:rFonts w:hint="eastAsia" w:ascii="仿宋_GB2312" w:hAnsi="仿宋_GB2312" w:eastAsia="仿宋_GB2312" w:cs="仿宋_GB2312"/>
          <w:color w:val="auto"/>
          <w:kern w:val="0"/>
          <w:sz w:val="28"/>
          <w:szCs w:val="28"/>
          <w:highlight w:val="none"/>
          <w:lang w:val="en-US" w:eastAsia="zh-CN"/>
        </w:rPr>
        <w:t>元）。</w:t>
      </w:r>
    </w:p>
    <w:p w14:paraId="77C47C16">
      <w:pPr>
        <w:numPr>
          <w:ilvl w:val="0"/>
          <w:numId w:val="0"/>
        </w:numPr>
        <w:adjustRightInd w:val="0"/>
        <w:spacing w:line="240" w:lineRule="auto"/>
        <w:ind w:right="42" w:rightChars="20" w:firstLine="0" w:firstLineChars="0"/>
        <w:jc w:val="center"/>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 xml:space="preserve">     1</w:t>
      </w:r>
      <w:r>
        <w:rPr>
          <w:rFonts w:hint="eastAsia" w:ascii="仿宋_GB2312" w:hAnsi="仿宋_GB2312" w:eastAsia="仿宋_GB2312" w:cs="仿宋_GB2312"/>
          <w:b/>
          <w:bCs/>
          <w:color w:val="auto"/>
          <w:kern w:val="0"/>
          <w:sz w:val="28"/>
          <w:szCs w:val="28"/>
          <w:highlight w:val="none"/>
        </w:rPr>
        <w:t>号线</w:t>
      </w:r>
      <w:r>
        <w:rPr>
          <w:rFonts w:hint="eastAsia" w:ascii="仿宋_GB2312" w:hAnsi="仿宋_GB2312" w:eastAsia="仿宋_GB2312" w:cs="仿宋_GB2312"/>
          <w:b/>
          <w:bCs/>
          <w:color w:val="auto"/>
          <w:kern w:val="0"/>
          <w:sz w:val="28"/>
          <w:szCs w:val="28"/>
          <w:highlight w:val="none"/>
          <w:lang w:val="en-US" w:eastAsia="zh-CN"/>
        </w:rPr>
        <w:t>贵阳火车站物业空间</w:t>
      </w:r>
      <w:r>
        <w:rPr>
          <w:rFonts w:hint="eastAsia" w:ascii="仿宋_GB2312" w:hAnsi="仿宋_GB2312" w:eastAsia="仿宋_GB2312" w:cs="仿宋_GB2312"/>
          <w:b/>
          <w:bCs/>
          <w:color w:val="auto"/>
          <w:kern w:val="0"/>
          <w:sz w:val="28"/>
          <w:szCs w:val="28"/>
          <w:highlight w:val="none"/>
        </w:rPr>
        <w:t>租金汇总表</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color w:val="auto"/>
          <w:sz w:val="28"/>
          <w:szCs w:val="28"/>
          <w:highlight w:val="none"/>
        </w:rPr>
        <w:t>单位：万元</w:t>
      </w:r>
      <w:r>
        <w:rPr>
          <w:rFonts w:hint="eastAsia" w:ascii="仿宋_GB2312" w:hAnsi="仿宋_GB2312" w:eastAsia="仿宋_GB2312" w:cs="仿宋_GB2312"/>
          <w:b/>
          <w:bCs/>
          <w:color w:val="auto"/>
          <w:kern w:val="0"/>
          <w:sz w:val="28"/>
          <w:szCs w:val="28"/>
          <w:highlight w:val="none"/>
          <w:lang w:eastAsia="zh-CN"/>
        </w:rPr>
        <w:t>）</w:t>
      </w:r>
    </w:p>
    <w:tbl>
      <w:tblPr>
        <w:tblStyle w:val="2"/>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254"/>
        <w:gridCol w:w="1254"/>
        <w:gridCol w:w="1254"/>
        <w:gridCol w:w="1254"/>
        <w:gridCol w:w="1254"/>
        <w:gridCol w:w="1256"/>
      </w:tblGrid>
      <w:tr w14:paraId="2344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pct"/>
            <w:vMerge w:val="restart"/>
            <w:shd w:val="clear" w:color="auto" w:fill="auto"/>
            <w:vAlign w:val="center"/>
          </w:tcPr>
          <w:p w14:paraId="59B55F48">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站点</w:t>
            </w:r>
          </w:p>
        </w:tc>
        <w:tc>
          <w:tcPr>
            <w:tcW w:w="716" w:type="pct"/>
            <w:shd w:val="clear" w:color="auto" w:fill="auto"/>
            <w:vAlign w:val="center"/>
          </w:tcPr>
          <w:p w14:paraId="0574E929">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单价</w:t>
            </w:r>
          </w:p>
          <w:p w14:paraId="54BFFAD8">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元/㎡·月</w:t>
            </w:r>
          </w:p>
        </w:tc>
        <w:tc>
          <w:tcPr>
            <w:tcW w:w="716" w:type="pct"/>
            <w:shd w:val="clear" w:color="auto" w:fill="auto"/>
            <w:vAlign w:val="center"/>
          </w:tcPr>
          <w:p w14:paraId="27AA77E7">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10年租金合计</w:t>
            </w:r>
          </w:p>
        </w:tc>
        <w:tc>
          <w:tcPr>
            <w:tcW w:w="716" w:type="pct"/>
            <w:shd w:val="clear" w:color="auto" w:fill="auto"/>
            <w:vAlign w:val="center"/>
          </w:tcPr>
          <w:p w14:paraId="0570A6F5">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第一年</w:t>
            </w:r>
          </w:p>
        </w:tc>
        <w:tc>
          <w:tcPr>
            <w:tcW w:w="716" w:type="pct"/>
            <w:shd w:val="clear" w:color="auto" w:fill="auto"/>
            <w:vAlign w:val="center"/>
          </w:tcPr>
          <w:p w14:paraId="76FF8D6D">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第二年</w:t>
            </w:r>
          </w:p>
        </w:tc>
        <w:tc>
          <w:tcPr>
            <w:tcW w:w="716" w:type="pct"/>
            <w:shd w:val="clear" w:color="auto" w:fill="auto"/>
            <w:vAlign w:val="center"/>
          </w:tcPr>
          <w:p w14:paraId="2A394228">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第三年</w:t>
            </w:r>
          </w:p>
        </w:tc>
        <w:tc>
          <w:tcPr>
            <w:tcW w:w="717" w:type="pct"/>
            <w:shd w:val="clear" w:color="auto" w:fill="auto"/>
            <w:vAlign w:val="center"/>
          </w:tcPr>
          <w:p w14:paraId="6C7D8064">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第四年</w:t>
            </w:r>
          </w:p>
        </w:tc>
      </w:tr>
      <w:tr w14:paraId="08B7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pct"/>
            <w:vMerge w:val="continue"/>
            <w:shd w:val="clear" w:color="auto" w:fill="auto"/>
            <w:vAlign w:val="center"/>
          </w:tcPr>
          <w:p w14:paraId="35B79106">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716" w:type="pct"/>
            <w:shd w:val="clear" w:color="auto" w:fill="auto"/>
            <w:vAlign w:val="center"/>
          </w:tcPr>
          <w:p w14:paraId="0F98F85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22.00</w:t>
            </w:r>
          </w:p>
        </w:tc>
        <w:tc>
          <w:tcPr>
            <w:tcW w:w="716" w:type="pct"/>
            <w:shd w:val="clear" w:color="auto" w:fill="auto"/>
            <w:vAlign w:val="center"/>
          </w:tcPr>
          <w:p w14:paraId="26E3B41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7502204.21</w:t>
            </w:r>
          </w:p>
        </w:tc>
        <w:tc>
          <w:tcPr>
            <w:tcW w:w="716" w:type="pct"/>
            <w:shd w:val="clear" w:color="auto" w:fill="auto"/>
            <w:vAlign w:val="center"/>
          </w:tcPr>
          <w:p w14:paraId="2EFF259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674118.72</w:t>
            </w:r>
          </w:p>
        </w:tc>
        <w:tc>
          <w:tcPr>
            <w:tcW w:w="716" w:type="pct"/>
            <w:shd w:val="clear" w:color="auto" w:fill="auto"/>
            <w:vAlign w:val="center"/>
          </w:tcPr>
          <w:p w14:paraId="644D825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674118.72</w:t>
            </w:r>
          </w:p>
        </w:tc>
        <w:tc>
          <w:tcPr>
            <w:tcW w:w="716" w:type="pct"/>
            <w:shd w:val="clear" w:color="auto" w:fill="auto"/>
            <w:vAlign w:val="center"/>
          </w:tcPr>
          <w:p w14:paraId="64E032D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674118.72</w:t>
            </w:r>
          </w:p>
        </w:tc>
        <w:tc>
          <w:tcPr>
            <w:tcW w:w="717" w:type="pct"/>
            <w:shd w:val="clear" w:color="auto" w:fill="auto"/>
            <w:vAlign w:val="center"/>
          </w:tcPr>
          <w:p w14:paraId="730C001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694342.28</w:t>
            </w:r>
          </w:p>
        </w:tc>
      </w:tr>
      <w:tr w14:paraId="045C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pct"/>
            <w:vMerge w:val="continue"/>
            <w:shd w:val="clear" w:color="auto" w:fill="auto"/>
            <w:vAlign w:val="center"/>
          </w:tcPr>
          <w:p w14:paraId="12551F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32" w:type="pct"/>
            <w:gridSpan w:val="2"/>
            <w:shd w:val="clear" w:color="auto" w:fill="auto"/>
            <w:vAlign w:val="center"/>
          </w:tcPr>
          <w:p w14:paraId="2D4DCF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增长率</w:t>
            </w:r>
          </w:p>
        </w:tc>
        <w:tc>
          <w:tcPr>
            <w:tcW w:w="716" w:type="pct"/>
            <w:shd w:val="clear" w:color="auto" w:fill="auto"/>
            <w:vAlign w:val="center"/>
          </w:tcPr>
          <w:p w14:paraId="25ADD2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716" w:type="pct"/>
            <w:shd w:val="clear" w:color="auto" w:fill="auto"/>
            <w:vAlign w:val="center"/>
          </w:tcPr>
          <w:p w14:paraId="2F2B97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716" w:type="pct"/>
            <w:shd w:val="clear" w:color="auto" w:fill="auto"/>
            <w:vAlign w:val="center"/>
          </w:tcPr>
          <w:p w14:paraId="23B090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w:t>
            </w:r>
          </w:p>
        </w:tc>
        <w:tc>
          <w:tcPr>
            <w:tcW w:w="717" w:type="pct"/>
            <w:shd w:val="clear" w:color="auto" w:fill="auto"/>
            <w:vAlign w:val="center"/>
          </w:tcPr>
          <w:p w14:paraId="7DBF2D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2936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pct"/>
            <w:vMerge w:val="restart"/>
            <w:shd w:val="clear" w:color="auto" w:fill="auto"/>
            <w:vAlign w:val="center"/>
          </w:tcPr>
          <w:p w14:paraId="27B31B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bookmarkStart w:id="0" w:name="OLE_LINK2"/>
            <w:r>
              <w:rPr>
                <w:rFonts w:hint="eastAsia" w:ascii="宋体" w:hAnsi="宋体" w:eastAsia="宋体" w:cs="宋体"/>
                <w:color w:val="auto"/>
                <w:kern w:val="0"/>
                <w:sz w:val="18"/>
                <w:szCs w:val="18"/>
                <w:highlight w:val="none"/>
                <w:lang w:val="en-US" w:eastAsia="zh-CN" w:bidi="ar"/>
              </w:rPr>
              <w:t>贵阳火车站</w:t>
            </w:r>
          </w:p>
        </w:tc>
        <w:tc>
          <w:tcPr>
            <w:tcW w:w="716" w:type="pct"/>
            <w:shd w:val="clear" w:color="auto" w:fill="auto"/>
            <w:vAlign w:val="center"/>
          </w:tcPr>
          <w:p w14:paraId="0E425D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第五年</w:t>
            </w:r>
          </w:p>
        </w:tc>
        <w:tc>
          <w:tcPr>
            <w:tcW w:w="716" w:type="pct"/>
            <w:shd w:val="clear" w:color="auto" w:fill="auto"/>
            <w:vAlign w:val="center"/>
          </w:tcPr>
          <w:p w14:paraId="5AAFB750">
            <w:pPr>
              <w:widowControl/>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第六年</w:t>
            </w:r>
          </w:p>
        </w:tc>
        <w:tc>
          <w:tcPr>
            <w:tcW w:w="716" w:type="pct"/>
            <w:shd w:val="clear" w:color="auto" w:fill="auto"/>
            <w:vAlign w:val="center"/>
          </w:tcPr>
          <w:p w14:paraId="701B1510">
            <w:pPr>
              <w:widowControl/>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第七年</w:t>
            </w:r>
          </w:p>
        </w:tc>
        <w:tc>
          <w:tcPr>
            <w:tcW w:w="716" w:type="pct"/>
            <w:shd w:val="clear" w:color="auto" w:fill="auto"/>
            <w:vAlign w:val="center"/>
          </w:tcPr>
          <w:p w14:paraId="7FE0CF5E">
            <w:pPr>
              <w:widowControl/>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第八年</w:t>
            </w:r>
          </w:p>
        </w:tc>
        <w:tc>
          <w:tcPr>
            <w:tcW w:w="716" w:type="pct"/>
            <w:shd w:val="clear" w:color="auto" w:fill="auto"/>
            <w:vAlign w:val="center"/>
          </w:tcPr>
          <w:p w14:paraId="17422DD1">
            <w:pPr>
              <w:widowControl/>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第九年</w:t>
            </w:r>
          </w:p>
        </w:tc>
        <w:tc>
          <w:tcPr>
            <w:tcW w:w="717" w:type="pct"/>
            <w:shd w:val="clear" w:color="auto" w:fill="auto"/>
            <w:vAlign w:val="center"/>
          </w:tcPr>
          <w:p w14:paraId="647AC5E7">
            <w:pPr>
              <w:widowControl/>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第十年</w:t>
            </w:r>
          </w:p>
        </w:tc>
      </w:tr>
      <w:tr w14:paraId="6802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pct"/>
            <w:vMerge w:val="continue"/>
            <w:shd w:val="clear" w:color="auto" w:fill="auto"/>
            <w:vAlign w:val="center"/>
          </w:tcPr>
          <w:p w14:paraId="57C90A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16" w:type="pct"/>
            <w:shd w:val="clear" w:color="auto" w:fill="auto"/>
            <w:vAlign w:val="center"/>
          </w:tcPr>
          <w:p w14:paraId="05D4009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715172.55</w:t>
            </w:r>
          </w:p>
        </w:tc>
        <w:tc>
          <w:tcPr>
            <w:tcW w:w="716" w:type="pct"/>
            <w:shd w:val="clear" w:color="auto" w:fill="auto"/>
            <w:vAlign w:val="center"/>
          </w:tcPr>
          <w:p w14:paraId="79F4B5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736627.73</w:t>
            </w:r>
          </w:p>
        </w:tc>
        <w:tc>
          <w:tcPr>
            <w:tcW w:w="716" w:type="pct"/>
            <w:shd w:val="clear" w:color="auto" w:fill="auto"/>
            <w:vAlign w:val="center"/>
          </w:tcPr>
          <w:p w14:paraId="774E15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773459.12</w:t>
            </w:r>
          </w:p>
        </w:tc>
        <w:tc>
          <w:tcPr>
            <w:tcW w:w="716" w:type="pct"/>
            <w:shd w:val="clear" w:color="auto" w:fill="auto"/>
            <w:vAlign w:val="center"/>
          </w:tcPr>
          <w:p w14:paraId="149C0D0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812132.08</w:t>
            </w:r>
          </w:p>
        </w:tc>
        <w:tc>
          <w:tcPr>
            <w:tcW w:w="716" w:type="pct"/>
            <w:shd w:val="clear" w:color="auto" w:fill="auto"/>
            <w:vAlign w:val="center"/>
          </w:tcPr>
          <w:p w14:paraId="021F83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852738.68</w:t>
            </w:r>
          </w:p>
        </w:tc>
        <w:tc>
          <w:tcPr>
            <w:tcW w:w="717" w:type="pct"/>
            <w:shd w:val="clear" w:color="auto" w:fill="auto"/>
            <w:vAlign w:val="center"/>
          </w:tcPr>
          <w:p w14:paraId="60DA3F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895375.61</w:t>
            </w:r>
          </w:p>
        </w:tc>
      </w:tr>
      <w:tr w14:paraId="4D0D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pct"/>
            <w:vMerge w:val="continue"/>
            <w:shd w:val="clear" w:color="auto" w:fill="auto"/>
            <w:vAlign w:val="center"/>
          </w:tcPr>
          <w:p w14:paraId="23E0531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16" w:type="pct"/>
            <w:shd w:val="clear" w:color="auto" w:fill="auto"/>
            <w:vAlign w:val="center"/>
          </w:tcPr>
          <w:p w14:paraId="718A9A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716" w:type="pct"/>
            <w:shd w:val="clear" w:color="auto" w:fill="auto"/>
            <w:vAlign w:val="center"/>
          </w:tcPr>
          <w:p w14:paraId="75A7F9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716" w:type="pct"/>
            <w:shd w:val="clear" w:color="auto" w:fill="auto"/>
            <w:vAlign w:val="center"/>
          </w:tcPr>
          <w:p w14:paraId="15DF7E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716" w:type="pct"/>
            <w:shd w:val="clear" w:color="auto" w:fill="auto"/>
            <w:vAlign w:val="center"/>
          </w:tcPr>
          <w:p w14:paraId="222BA8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716" w:type="pct"/>
            <w:shd w:val="clear" w:color="auto" w:fill="auto"/>
            <w:vAlign w:val="center"/>
          </w:tcPr>
          <w:p w14:paraId="38F003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717" w:type="pct"/>
            <w:shd w:val="clear" w:color="auto" w:fill="auto"/>
            <w:vAlign w:val="center"/>
          </w:tcPr>
          <w:p w14:paraId="23D6E3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r>
    </w:tbl>
    <w:p w14:paraId="034CBE6F">
      <w:pPr>
        <w:autoSpaceDE w:val="0"/>
        <w:autoSpaceDN w:val="0"/>
        <w:adjustRightInd w:val="0"/>
        <w:spacing w:line="360" w:lineRule="auto"/>
        <w:jc w:val="center"/>
        <w:rPr>
          <w:color w:val="auto"/>
          <w:highlight w:val="none"/>
        </w:rPr>
      </w:pPr>
      <w:r>
        <w:rPr>
          <w:rFonts w:hint="eastAsia" w:ascii="仿宋_GB2312" w:hAnsi="仿宋_GB2312" w:eastAsia="仿宋_GB2312" w:cs="仿宋_GB2312"/>
          <w:b/>
          <w:bCs/>
          <w:color w:val="auto"/>
          <w:kern w:val="0"/>
          <w:sz w:val="28"/>
          <w:szCs w:val="28"/>
          <w:highlight w:val="none"/>
          <w:lang w:val="en-US" w:eastAsia="zh-CN"/>
        </w:rPr>
        <w:t>租</w:t>
      </w:r>
      <w:r>
        <w:rPr>
          <w:rFonts w:hint="eastAsia" w:ascii="仿宋_GB2312" w:hAnsi="仿宋_GB2312" w:eastAsia="仿宋_GB2312" w:cs="仿宋_GB2312"/>
          <w:b/>
          <w:bCs/>
          <w:color w:val="auto"/>
          <w:kern w:val="0"/>
          <w:sz w:val="28"/>
          <w:szCs w:val="28"/>
          <w:highlight w:val="none"/>
        </w:rPr>
        <w:t>金占比表</w:t>
      </w:r>
    </w:p>
    <w:bookmarkEnd w:id="0"/>
    <w:tbl>
      <w:tblPr>
        <w:tblStyle w:val="2"/>
        <w:tblW w:w="4279"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343"/>
        <w:gridCol w:w="1190"/>
        <w:gridCol w:w="1190"/>
        <w:gridCol w:w="1190"/>
        <w:gridCol w:w="1190"/>
        <w:gridCol w:w="1192"/>
      </w:tblGrid>
      <w:tr w14:paraId="18E02F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jc w:val="center"/>
        </w:trPr>
        <w:tc>
          <w:tcPr>
            <w:tcW w:w="920" w:type="pct"/>
            <w:vMerge w:val="restart"/>
            <w:tcBorders>
              <w:left w:val="single" w:color="auto" w:sz="4" w:space="0"/>
              <w:bottom w:val="single" w:color="auto" w:sz="4" w:space="0"/>
              <w:right w:val="single" w:color="auto" w:sz="4" w:space="0"/>
            </w:tcBorders>
            <w:shd w:val="clear" w:color="auto" w:fill="auto"/>
            <w:noWrap/>
            <w:vAlign w:val="center"/>
          </w:tcPr>
          <w:p w14:paraId="55C08740">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站点</w:t>
            </w:r>
          </w:p>
        </w:tc>
        <w:tc>
          <w:tcPr>
            <w:tcW w:w="4079" w:type="pct"/>
            <w:gridSpan w:val="5"/>
            <w:tcBorders>
              <w:left w:val="single" w:color="auto" w:sz="4" w:space="0"/>
              <w:bottom w:val="single" w:color="auto" w:sz="4" w:space="0"/>
              <w:right w:val="single" w:color="auto" w:sz="4" w:space="0"/>
            </w:tcBorders>
            <w:shd w:val="clear" w:color="auto" w:fill="auto"/>
            <w:noWrap/>
            <w:vAlign w:val="center"/>
          </w:tcPr>
          <w:p w14:paraId="7A2C29C4">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占该站成交价的价值占比</w:t>
            </w:r>
          </w:p>
        </w:tc>
      </w:tr>
      <w:tr w14:paraId="30D714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jc w:val="center"/>
        </w:trPr>
        <w:tc>
          <w:tcPr>
            <w:tcW w:w="92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CA702A">
            <w:pPr>
              <w:jc w:val="center"/>
              <w:rPr>
                <w:rFonts w:hint="eastAsia" w:ascii="宋体" w:hAnsi="宋体" w:eastAsia="宋体" w:cs="宋体"/>
                <w:color w:val="auto"/>
                <w:sz w:val="18"/>
                <w:szCs w:val="18"/>
                <w:highlight w:val="none"/>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4C00F1A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第一年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367C4E82">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第二年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5C1B302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第三年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2E0BBDF5">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第四年</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31590E61">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第五年</w:t>
            </w:r>
          </w:p>
        </w:tc>
      </w:tr>
      <w:tr w14:paraId="2EC1A9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jc w:val="center"/>
        </w:trPr>
        <w:tc>
          <w:tcPr>
            <w:tcW w:w="9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90A39">
            <w:pPr>
              <w:widowControl/>
              <w:jc w:val="center"/>
              <w:textAlignment w:val="center"/>
              <w:rPr>
                <w:rFonts w:hint="eastAsia" w:ascii="宋体" w:hAnsi="宋体" w:eastAsia="宋体" w:cs="宋体"/>
                <w:color w:val="auto"/>
                <w:kern w:val="0"/>
                <w:sz w:val="18"/>
                <w:szCs w:val="18"/>
                <w:highlight w:val="none"/>
                <w:lang w:bidi="ar"/>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4BB85D7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9.00%</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6A4BA50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9.00%</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25ACA77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9.00%</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6FC41130">
            <w:pPr>
              <w:keepNext w:val="0"/>
              <w:keepLines w:val="0"/>
              <w:widowControl/>
              <w:suppressLineNumbers w:val="0"/>
              <w:jc w:val="center"/>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9.27%</w:t>
            </w:r>
          </w:p>
        </w:tc>
        <w:tc>
          <w:tcPr>
            <w:tcW w:w="817" w:type="pct"/>
            <w:tcBorders>
              <w:top w:val="single" w:color="auto" w:sz="4" w:space="0"/>
              <w:left w:val="single" w:color="auto" w:sz="4" w:space="0"/>
              <w:bottom w:val="single" w:color="auto" w:sz="4" w:space="0"/>
              <w:right w:val="single" w:color="auto" w:sz="4" w:space="0"/>
            </w:tcBorders>
            <w:shd w:val="clear" w:color="auto" w:fill="auto"/>
            <w:vAlign w:val="top"/>
          </w:tcPr>
          <w:p w14:paraId="4A80EF6F">
            <w:pPr>
              <w:keepNext w:val="0"/>
              <w:keepLines w:val="0"/>
              <w:widowControl/>
              <w:suppressLineNumbers w:val="0"/>
              <w:jc w:val="center"/>
              <w:textAlignment w:val="center"/>
              <w:rPr>
                <w:rFonts w:hint="eastAsia"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9.55%</w:t>
            </w:r>
          </w:p>
        </w:tc>
      </w:tr>
      <w:tr w14:paraId="63D2AE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jc w:val="center"/>
        </w:trPr>
        <w:tc>
          <w:tcPr>
            <w:tcW w:w="9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65D78">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贵阳火车站</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4A8430A7">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第六年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04F7FDB3">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第七年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1BF85F0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第八年</w:t>
            </w:r>
          </w:p>
        </w:tc>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14:paraId="1D30E167">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第九年</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0FC464C9">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第十年</w:t>
            </w:r>
          </w:p>
        </w:tc>
      </w:tr>
      <w:tr w14:paraId="656AD6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5" w:hRule="atLeast"/>
          <w:jc w:val="center"/>
        </w:trPr>
        <w:tc>
          <w:tcPr>
            <w:tcW w:w="9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76E6D">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0A7CBB7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9.84%</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0C71ECE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10.33%</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60609C6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10.85%</w:t>
            </w:r>
          </w:p>
        </w:tc>
        <w:tc>
          <w:tcPr>
            <w:tcW w:w="815" w:type="pct"/>
            <w:tcBorders>
              <w:top w:val="single" w:color="auto" w:sz="4" w:space="0"/>
              <w:left w:val="single" w:color="auto" w:sz="4" w:space="0"/>
              <w:bottom w:val="single" w:color="auto" w:sz="4" w:space="0"/>
              <w:right w:val="single" w:color="auto" w:sz="4" w:space="0"/>
            </w:tcBorders>
            <w:shd w:val="clear" w:color="auto" w:fill="auto"/>
            <w:vAlign w:val="top"/>
          </w:tcPr>
          <w:p w14:paraId="474967C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11.39%</w:t>
            </w:r>
          </w:p>
        </w:tc>
        <w:tc>
          <w:tcPr>
            <w:tcW w:w="817" w:type="pct"/>
            <w:tcBorders>
              <w:top w:val="single" w:color="auto" w:sz="4" w:space="0"/>
              <w:left w:val="single" w:color="auto" w:sz="4" w:space="0"/>
              <w:bottom w:val="single" w:color="auto" w:sz="4" w:space="0"/>
              <w:right w:val="single" w:color="auto" w:sz="4" w:space="0"/>
            </w:tcBorders>
            <w:shd w:val="clear" w:color="auto" w:fill="auto"/>
            <w:vAlign w:val="top"/>
          </w:tcPr>
          <w:p w14:paraId="2F2D5D9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11.77%</w:t>
            </w:r>
          </w:p>
        </w:tc>
      </w:tr>
    </w:tbl>
    <w:p w14:paraId="12C8B792">
      <w:pPr>
        <w:autoSpaceDE w:val="0"/>
        <w:autoSpaceDN w:val="0"/>
        <w:adjustRightInd w:val="0"/>
        <w:spacing w:line="240" w:lineRule="auto"/>
        <w:rPr>
          <w:rFonts w:hint="eastAsia" w:ascii="黑体" w:hAnsi="黑体" w:eastAsia="黑体" w:cs="黑体"/>
          <w:b w:val="0"/>
          <w:bCs w:val="0"/>
          <w:color w:val="auto"/>
          <w:kern w:val="2"/>
          <w:sz w:val="28"/>
          <w:szCs w:val="28"/>
          <w:highlight w:val="none"/>
        </w:rPr>
      </w:pPr>
    </w:p>
    <w:p w14:paraId="35447CD6">
      <w:pPr>
        <w:autoSpaceDE w:val="0"/>
        <w:autoSpaceDN w:val="0"/>
        <w:adjustRightInd w:val="0"/>
        <w:spacing w:line="240" w:lineRule="auto"/>
        <w:rPr>
          <w:rFonts w:hint="eastAsia" w:ascii="黑体" w:hAnsi="黑体" w:eastAsia="黑体" w:cs="黑体"/>
          <w:b w:val="0"/>
          <w:bCs w:val="0"/>
          <w:color w:val="auto"/>
          <w:kern w:val="2"/>
          <w:sz w:val="28"/>
          <w:szCs w:val="28"/>
          <w:highlight w:val="none"/>
        </w:rPr>
      </w:pPr>
      <w:r>
        <w:rPr>
          <w:rFonts w:hint="eastAsia" w:ascii="黑体" w:hAnsi="黑体" w:eastAsia="黑体" w:cs="黑体"/>
          <w:b w:val="0"/>
          <w:bCs w:val="0"/>
          <w:color w:val="auto"/>
          <w:kern w:val="2"/>
          <w:sz w:val="28"/>
          <w:szCs w:val="28"/>
          <w:highlight w:val="none"/>
        </w:rPr>
        <w:t>意向承租人资质条件</w:t>
      </w:r>
    </w:p>
    <w:p w14:paraId="4BA759E4">
      <w:pPr>
        <w:numPr>
          <w:ilvl w:val="0"/>
          <w:numId w:val="0"/>
        </w:numPr>
        <w:spacing w:line="360" w:lineRule="auto"/>
        <w:ind w:right="42" w:rightChars="20"/>
        <w:jc w:val="left"/>
        <w:outlineLvl w:val="9"/>
        <w:rPr>
          <w:rFonts w:hint="eastAsia" w:ascii="仿宋_GB2312" w:hAnsi="仿宋_GB2312" w:eastAsia="仿宋_GB2312" w:cs="仿宋_GB2312"/>
          <w:color w:val="auto"/>
          <w:kern w:val="0"/>
          <w:sz w:val="28"/>
          <w:szCs w:val="28"/>
          <w:highlight w:val="none"/>
          <w:lang w:val="en-US" w:eastAsia="zh-CN"/>
        </w:rPr>
      </w:pPr>
      <w:bookmarkStart w:id="2" w:name="_GoBack"/>
      <w:bookmarkEnd w:id="2"/>
      <w:r>
        <w:rPr>
          <w:rFonts w:hint="eastAsia" w:ascii="仿宋_GB2312" w:hAnsi="仿宋_GB2312" w:eastAsia="仿宋_GB2312" w:cs="仿宋_GB2312"/>
          <w:color w:val="auto"/>
          <w:kern w:val="0"/>
          <w:sz w:val="28"/>
          <w:szCs w:val="28"/>
          <w:highlight w:val="none"/>
          <w:lang w:val="en-US" w:eastAsia="zh-CN"/>
        </w:rPr>
        <w:t>（一）意向承租人必须是</w:t>
      </w:r>
      <w:r>
        <w:rPr>
          <w:rFonts w:hint="eastAsia" w:ascii="仿宋_GB2312" w:hAnsi="仿宋_GB2312" w:eastAsia="仿宋_GB2312" w:cs="仿宋_GB2312"/>
          <w:color w:val="auto"/>
          <w:kern w:val="0"/>
          <w:sz w:val="28"/>
          <w:szCs w:val="28"/>
          <w:highlight w:val="none"/>
        </w:rPr>
        <w:t>在中华人民共和国境内（不含港、澳、台地区）依法设立且有效存续的法人实体。</w:t>
      </w:r>
    </w:p>
    <w:p w14:paraId="768D2BAB">
      <w:pPr>
        <w:numPr>
          <w:ilvl w:val="0"/>
          <w:numId w:val="0"/>
        </w:numPr>
        <w:ind w:right="42" w:rightChars="20" w:firstLine="0" w:firstLineChars="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二）意向承租人相关业态经营管理经验，报名时需提交拟经营业态及同业态经营或管理证明文件。（执行标准：拟经营业态应满足相关规范要求和轨道交通运营管理安全需求；业态经营管理形式包含自营、承租或受委托管理等；意向承租人可提供相应合同或相关受托人出具的书面证明材料，自营项目需提供营业执照或其他能证明物业经营体量的相关材料）。</w:t>
      </w:r>
    </w:p>
    <w:p w14:paraId="25FDD54F">
      <w:pPr>
        <w:numPr>
          <w:ilvl w:val="0"/>
          <w:numId w:val="0"/>
        </w:numPr>
        <w:ind w:right="42" w:rightChars="20" w:firstLine="0" w:firstLineChars="0"/>
        <w:jc w:val="center"/>
        <w:outlineLvl w:val="9"/>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所需满足的业绩条件</w:t>
      </w:r>
    </w:p>
    <w:tbl>
      <w:tblPr>
        <w:tblStyle w:val="3"/>
        <w:tblpPr w:leftFromText="180" w:rightFromText="180" w:vertAnchor="text" w:horzAnchor="page" w:tblpX="1784" w:tblpY="622"/>
        <w:tblOverlap w:val="never"/>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929"/>
        <w:gridCol w:w="5081"/>
      </w:tblGrid>
      <w:tr w14:paraId="7D37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center"/>
          </w:tcPr>
          <w:p w14:paraId="351655EB">
            <w:pPr>
              <w:widowControl/>
              <w:numPr>
                <w:ilvl w:val="0"/>
                <w:numId w:val="0"/>
              </w:numPr>
              <w:autoSpaceDE/>
              <w:autoSpaceDN/>
              <w:adjustRightInd/>
              <w:spacing w:line="240" w:lineRule="auto"/>
              <w:ind w:right="42" w:rightChars="20"/>
              <w:jc w:val="center"/>
              <w:textAlignment w:val="auto"/>
              <w:outlineLvl w:val="9"/>
              <w:rPr>
                <w:rFonts w:hint="eastAsia" w:ascii="宋体" w:hAnsi="宋体" w:eastAsia="宋体" w:cs="宋体"/>
                <w:b w:val="0"/>
                <w:bCs w:val="0"/>
                <w:color w:val="auto"/>
                <w:kern w:val="0"/>
                <w:sz w:val="18"/>
                <w:szCs w:val="18"/>
                <w:highlight w:val="none"/>
                <w:u w:val="none"/>
                <w:vertAlign w:val="baseli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站点</w:t>
            </w:r>
          </w:p>
        </w:tc>
        <w:tc>
          <w:tcPr>
            <w:tcW w:w="1929" w:type="dxa"/>
            <w:vAlign w:val="center"/>
          </w:tcPr>
          <w:p w14:paraId="00E4550F">
            <w:pPr>
              <w:keepNext w:val="0"/>
              <w:keepLines w:val="0"/>
              <w:widowControl/>
              <w:numPr>
                <w:ilvl w:val="0"/>
                <w:numId w:val="0"/>
              </w:numPr>
              <w:suppressLineNumbers w:val="0"/>
              <w:ind w:right="42" w:rightChars="20"/>
              <w:jc w:val="center"/>
              <w:textAlignment w:val="auto"/>
              <w:outlineLvl w:val="9"/>
              <w:rPr>
                <w:rFonts w:hint="eastAsia" w:ascii="宋体" w:hAnsi="宋体" w:eastAsia="宋体" w:cs="宋体"/>
                <w:b w:val="0"/>
                <w:bCs w:val="0"/>
                <w:color w:val="auto"/>
                <w:kern w:val="0"/>
                <w:sz w:val="18"/>
                <w:szCs w:val="18"/>
                <w:highlight w:val="none"/>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计租面积（㎡）</w:t>
            </w:r>
          </w:p>
        </w:tc>
        <w:tc>
          <w:tcPr>
            <w:tcW w:w="5081" w:type="dxa"/>
            <w:vAlign w:val="center"/>
          </w:tcPr>
          <w:p w14:paraId="0FCC9AA6">
            <w:pPr>
              <w:keepNext w:val="0"/>
              <w:keepLines w:val="0"/>
              <w:widowControl/>
              <w:numPr>
                <w:ilvl w:val="0"/>
                <w:numId w:val="0"/>
              </w:numPr>
              <w:suppressLineNumbers w:val="0"/>
              <w:ind w:right="42" w:rightChars="20"/>
              <w:jc w:val="center"/>
              <w:textAlignment w:val="auto"/>
              <w:outlineLvl w:val="9"/>
              <w:rPr>
                <w:rFonts w:hint="eastAsia" w:ascii="宋体" w:hAnsi="宋体" w:eastAsia="宋体" w:cs="宋体"/>
                <w:b w:val="0"/>
                <w:bCs w:val="0"/>
                <w:color w:val="auto"/>
                <w:kern w:val="0"/>
                <w:sz w:val="18"/>
                <w:szCs w:val="18"/>
                <w:highlight w:val="none"/>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业绩条件（自招租信息发布日往前计算五年）</w:t>
            </w:r>
          </w:p>
        </w:tc>
      </w:tr>
      <w:tr w14:paraId="06E9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Align w:val="center"/>
          </w:tcPr>
          <w:p w14:paraId="66CB9665">
            <w:pPr>
              <w:widowControl/>
              <w:numPr>
                <w:ilvl w:val="0"/>
                <w:numId w:val="0"/>
              </w:numPr>
              <w:autoSpaceDE/>
              <w:autoSpaceDN/>
              <w:adjustRightInd/>
              <w:spacing w:line="240" w:lineRule="auto"/>
              <w:ind w:right="42" w:rightChars="20"/>
              <w:jc w:val="center"/>
              <w:textAlignment w:val="auto"/>
              <w:outlineLvl w:val="9"/>
              <w:rPr>
                <w:rFonts w:hint="eastAsia" w:ascii="宋体" w:hAnsi="宋体" w:eastAsia="宋体" w:cs="宋体"/>
                <w:b w:val="0"/>
                <w:bCs w:val="0"/>
                <w:color w:val="auto"/>
                <w:kern w:val="0"/>
                <w:sz w:val="18"/>
                <w:szCs w:val="18"/>
                <w:highlight w:val="none"/>
                <w:u w:val="none"/>
                <w:vertAlign w:val="baseli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贵阳火车站</w:t>
            </w:r>
          </w:p>
        </w:tc>
        <w:tc>
          <w:tcPr>
            <w:tcW w:w="1929" w:type="dxa"/>
            <w:vAlign w:val="center"/>
          </w:tcPr>
          <w:p w14:paraId="5F6B4220">
            <w:pPr>
              <w:keepNext w:val="0"/>
              <w:keepLines w:val="0"/>
              <w:widowControl/>
              <w:numPr>
                <w:ilvl w:val="0"/>
                <w:numId w:val="0"/>
              </w:numPr>
              <w:suppressLineNumbers w:val="0"/>
              <w:ind w:right="42" w:rightChars="20"/>
              <w:jc w:val="center"/>
              <w:textAlignment w:val="auto"/>
              <w:outlineLvl w:val="9"/>
              <w:rPr>
                <w:rFonts w:hint="eastAsia" w:ascii="宋体" w:hAnsi="宋体" w:eastAsia="宋体" w:cs="宋体"/>
                <w:b w:val="0"/>
                <w:bCs w:val="0"/>
                <w:color w:val="auto"/>
                <w:kern w:val="0"/>
                <w:sz w:val="18"/>
                <w:szCs w:val="18"/>
                <w:highlight w:val="none"/>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2553.48</w:t>
            </w:r>
          </w:p>
        </w:tc>
        <w:tc>
          <w:tcPr>
            <w:tcW w:w="5081" w:type="dxa"/>
            <w:vAlign w:val="center"/>
          </w:tcPr>
          <w:p w14:paraId="4559E3AD">
            <w:pPr>
              <w:keepNext w:val="0"/>
              <w:keepLines w:val="0"/>
              <w:widowControl/>
              <w:numPr>
                <w:ilvl w:val="0"/>
                <w:numId w:val="0"/>
              </w:numPr>
              <w:suppressLineNumbers w:val="0"/>
              <w:ind w:right="42" w:rightChars="20"/>
              <w:jc w:val="center"/>
              <w:textAlignment w:val="auto"/>
              <w:outlineLvl w:val="9"/>
              <w:rPr>
                <w:rFonts w:hint="eastAsia" w:ascii="宋体" w:hAnsi="宋体" w:eastAsia="宋体" w:cs="宋体"/>
                <w:b w:val="0"/>
                <w:bCs w:val="0"/>
                <w:color w:val="auto"/>
                <w:kern w:val="0"/>
                <w:sz w:val="18"/>
                <w:szCs w:val="18"/>
                <w:highlight w:val="none"/>
                <w:vertAlign w:val="baseline"/>
                <w:lang w:eastAsia="zh-CN"/>
              </w:rPr>
            </w:pPr>
            <w:r>
              <w:rPr>
                <w:rFonts w:hint="eastAsia" w:ascii="宋体" w:hAnsi="宋体" w:eastAsia="宋体" w:cs="宋体"/>
                <w:i w:val="0"/>
                <w:iCs w:val="0"/>
                <w:color w:val="auto"/>
                <w:kern w:val="0"/>
                <w:sz w:val="18"/>
                <w:szCs w:val="18"/>
                <w:highlight w:val="none"/>
                <w:u w:val="none"/>
                <w:lang w:val="en-US" w:eastAsia="zh-CN" w:bidi="ar"/>
              </w:rPr>
              <w:t>与拟经营业态相同的已经营项目1个及以上，且单个经营项目体量不少于2000平方米。</w:t>
            </w:r>
          </w:p>
        </w:tc>
      </w:tr>
    </w:tbl>
    <w:p w14:paraId="7BBAE1C7">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（三）意向承租人承诺无不良行为记录：须保证法人信用良好，无严重违法失信（执行标准：提供“信用中国”网站（www.creditchina.gov.cn）的证明材料）。</w:t>
      </w:r>
    </w:p>
    <w:p w14:paraId="30AC23BC">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（四）愿意且有能力承担本项目的全部投资及政府的相关行政审批手续办理（详见承诺书）。</w:t>
      </w:r>
    </w:p>
    <w:p w14:paraId="40D92E55">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（五）意向承租人须承诺按出租人提供的合同范本签订租赁合同。</w:t>
      </w:r>
    </w:p>
    <w:p w14:paraId="3D988860">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（六）意向承租人明确知晓本项目租金计算规则。</w:t>
      </w:r>
    </w:p>
    <w:p w14:paraId="5F5BB1D4">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（七）意向方登记表（交易所提供）</w:t>
      </w:r>
    </w:p>
    <w:p w14:paraId="67AAC597">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（八）保证金须知（交易所提供）</w:t>
      </w:r>
    </w:p>
    <w:p w14:paraId="6258E982">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（九）现场踏勘确认书</w:t>
      </w:r>
    </w:p>
    <w:p w14:paraId="4B9E2E5C">
      <w:pPr>
        <w:autoSpaceDE w:val="0"/>
        <w:autoSpaceDN w:val="0"/>
        <w:adjustRightInd w:val="0"/>
        <w:spacing w:line="240" w:lineRule="auto"/>
        <w:rPr>
          <w:rFonts w:hint="eastAsia"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租金收取</w:t>
      </w:r>
    </w:p>
    <w:p w14:paraId="22369E4D">
      <w:pPr>
        <w:numPr>
          <w:ilvl w:val="0"/>
          <w:numId w:val="0"/>
        </w:numPr>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1.租金采取预收方式，每6个月收取一次。</w:t>
      </w:r>
    </w:p>
    <w:p w14:paraId="1161C816">
      <w:pPr>
        <w:numPr>
          <w:ilvl w:val="0"/>
          <w:numId w:val="0"/>
        </w:numPr>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2.第一</w:t>
      </w:r>
      <w:r>
        <w:rPr>
          <w:rFonts w:hint="default" w:ascii="仿宋_GB2312" w:hAnsi="仿宋_GB2312" w:eastAsia="仿宋_GB2312" w:cs="仿宋_GB2312"/>
          <w:color w:val="auto"/>
          <w:kern w:val="0"/>
          <w:sz w:val="28"/>
          <w:szCs w:val="28"/>
          <w:highlight w:val="none"/>
          <w:lang w:val="en-US" w:eastAsia="zh-CN"/>
        </w:rPr>
        <w:t>期</w:t>
      </w:r>
      <w:r>
        <w:rPr>
          <w:rFonts w:hint="eastAsia" w:ascii="仿宋_GB2312" w:hAnsi="仿宋_GB2312" w:eastAsia="仿宋_GB2312" w:cs="仿宋_GB2312"/>
          <w:color w:val="auto"/>
          <w:kern w:val="0"/>
          <w:sz w:val="28"/>
          <w:szCs w:val="28"/>
          <w:highlight w:val="none"/>
          <w:lang w:val="en-US" w:eastAsia="zh-CN"/>
        </w:rPr>
        <w:t>租金的收取：承租人须在租赁合同生效后30</w:t>
      </w:r>
      <w:r>
        <w:rPr>
          <w:rFonts w:hint="eastAsia" w:ascii="仿宋_GB2312" w:hAnsi="仿宋_GB2312" w:eastAsia="仿宋_GB2312" w:cs="仿宋_GB2312"/>
          <w:color w:val="auto"/>
          <w:kern w:val="0"/>
          <w:sz w:val="28"/>
          <w:szCs w:val="28"/>
          <w:highlight w:val="none"/>
        </w:rPr>
        <w:t>个</w:t>
      </w:r>
      <w:r>
        <w:rPr>
          <w:rFonts w:hint="eastAsia" w:ascii="仿宋_GB2312" w:hAnsi="仿宋_GB2312" w:eastAsia="仿宋_GB2312" w:cs="仿宋_GB2312"/>
          <w:color w:val="auto"/>
          <w:kern w:val="0"/>
          <w:sz w:val="28"/>
          <w:szCs w:val="28"/>
          <w:highlight w:val="none"/>
          <w:lang w:val="en-US" w:eastAsia="zh-CN"/>
        </w:rPr>
        <w:t>自然</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内缴纳第一</w:t>
      </w:r>
      <w:r>
        <w:rPr>
          <w:rFonts w:hint="default" w:ascii="仿宋_GB2312" w:hAnsi="仿宋_GB2312" w:eastAsia="仿宋_GB2312" w:cs="仿宋_GB2312"/>
          <w:color w:val="auto"/>
          <w:kern w:val="0"/>
          <w:sz w:val="28"/>
          <w:szCs w:val="28"/>
          <w:highlight w:val="none"/>
          <w:lang w:val="en-US" w:eastAsia="zh-CN"/>
        </w:rPr>
        <w:t>期</w:t>
      </w:r>
      <w:r>
        <w:rPr>
          <w:rFonts w:hint="eastAsia" w:ascii="仿宋_GB2312" w:hAnsi="仿宋_GB2312" w:eastAsia="仿宋_GB2312" w:cs="仿宋_GB2312"/>
          <w:color w:val="auto"/>
          <w:kern w:val="0"/>
          <w:sz w:val="28"/>
          <w:szCs w:val="28"/>
          <w:highlight w:val="none"/>
          <w:lang w:val="en-US" w:eastAsia="zh-CN"/>
        </w:rPr>
        <w:t>租金。</w:t>
      </w:r>
    </w:p>
    <w:p w14:paraId="115543DB">
      <w:pPr>
        <w:numPr>
          <w:ilvl w:val="0"/>
          <w:numId w:val="0"/>
        </w:numPr>
        <w:overflowPunct/>
        <w:autoSpaceDE/>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3.第二</w:t>
      </w:r>
      <w:r>
        <w:rPr>
          <w:rFonts w:hint="default" w:ascii="仿宋_GB2312" w:hAnsi="仿宋_GB2312" w:eastAsia="仿宋_GB2312" w:cs="仿宋_GB2312"/>
          <w:color w:val="auto"/>
          <w:kern w:val="0"/>
          <w:sz w:val="28"/>
          <w:szCs w:val="28"/>
          <w:highlight w:val="none"/>
          <w:lang w:val="en-US" w:eastAsia="zh-CN"/>
        </w:rPr>
        <w:t>期</w:t>
      </w:r>
      <w:r>
        <w:rPr>
          <w:rFonts w:hint="eastAsia" w:ascii="仿宋_GB2312" w:hAnsi="仿宋_GB2312" w:eastAsia="仿宋_GB2312" w:cs="仿宋_GB2312"/>
          <w:color w:val="auto"/>
          <w:kern w:val="0"/>
          <w:sz w:val="28"/>
          <w:szCs w:val="28"/>
          <w:highlight w:val="none"/>
          <w:lang w:val="en-US" w:eastAsia="zh-CN"/>
        </w:rPr>
        <w:t>及后续租金的收取：承租人须在该出租标的的下一计租期开始时前30</w:t>
      </w:r>
      <w:r>
        <w:rPr>
          <w:rFonts w:hint="eastAsia" w:ascii="仿宋_GB2312" w:hAnsi="仿宋_GB2312" w:eastAsia="仿宋_GB2312" w:cs="仿宋_GB2312"/>
          <w:color w:val="auto"/>
          <w:kern w:val="0"/>
          <w:sz w:val="28"/>
          <w:szCs w:val="28"/>
          <w:highlight w:val="none"/>
        </w:rPr>
        <w:t>个</w:t>
      </w:r>
      <w:r>
        <w:rPr>
          <w:rFonts w:hint="eastAsia" w:ascii="仿宋_GB2312" w:hAnsi="仿宋_GB2312" w:eastAsia="仿宋_GB2312" w:cs="仿宋_GB2312"/>
          <w:color w:val="auto"/>
          <w:kern w:val="0"/>
          <w:sz w:val="28"/>
          <w:szCs w:val="28"/>
          <w:highlight w:val="none"/>
          <w:lang w:val="en-US" w:eastAsia="zh-CN"/>
        </w:rPr>
        <w:t>自然</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内将下一期租金转账至出租人指定账户。</w:t>
      </w:r>
    </w:p>
    <w:p w14:paraId="3FE61692">
      <w:pPr>
        <w:numPr>
          <w:ilvl w:val="0"/>
          <w:numId w:val="0"/>
        </w:numPr>
        <w:ind w:left="0" w:leftChars="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4.每一期应收租金为该出租标的对应的租赁年度的租金的50%。</w:t>
      </w:r>
    </w:p>
    <w:p w14:paraId="63CD7ADE">
      <w:pPr>
        <w:numPr>
          <w:ilvl w:val="0"/>
          <w:numId w:val="0"/>
        </w:numPr>
        <w:spacing w:line="360" w:lineRule="auto"/>
        <w:ind w:right="42" w:rightChars="20" w:firstLine="560" w:firstLineChars="200"/>
        <w:jc w:val="left"/>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5.如因特殊原因，需调整租金缴纳周期和方式，由双方另行协商一致后执行。</w:t>
      </w:r>
    </w:p>
    <w:p w14:paraId="32161E3C">
      <w:pPr>
        <w:numPr>
          <w:ilvl w:val="0"/>
          <w:numId w:val="0"/>
        </w:numPr>
        <w:adjustRightInd w:val="0"/>
        <w:spacing w:line="240" w:lineRule="auto"/>
        <w:ind w:right="42" w:rightChars="20"/>
        <w:jc w:val="left"/>
        <w:outlineLvl w:val="9"/>
        <w:rPr>
          <w:rFonts w:hint="eastAsia" w:ascii="黑体" w:hAnsi="黑体" w:eastAsia="黑体" w:cs="黑体"/>
          <w:color w:val="auto"/>
          <w:kern w:val="2"/>
          <w:sz w:val="28"/>
          <w:szCs w:val="28"/>
          <w:highlight w:val="none"/>
          <w:lang w:val="en-US" w:eastAsia="zh-CN"/>
        </w:rPr>
      </w:pPr>
      <w:r>
        <w:rPr>
          <w:rFonts w:hint="eastAsia" w:ascii="黑体" w:hAnsi="黑体" w:eastAsia="黑体" w:cs="黑体"/>
          <w:color w:val="auto"/>
          <w:kern w:val="2"/>
          <w:sz w:val="28"/>
          <w:szCs w:val="28"/>
          <w:highlight w:val="none"/>
          <w:lang w:val="en-US" w:eastAsia="zh-CN"/>
        </w:rPr>
        <w:t>水电接入及费用收取</w:t>
      </w:r>
    </w:p>
    <w:p w14:paraId="44DEF0CD">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1.出租标的已就水电接入端口进行了预留，接入口位于贵阳火车站地铁站内，承租人需自行从预留口接入水电。预留供电量为600KW，如需扩容，由承租人自行承担扩容费用。</w:t>
      </w:r>
    </w:p>
    <w:p w14:paraId="3666F3B7">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2.承租人可向供水供电部门申请水电接入并自行承担相关费用。</w:t>
      </w:r>
    </w:p>
    <w:p w14:paraId="49755A70">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3.采用轨道交通供电时的电费计算原则：</w:t>
      </w:r>
    </w:p>
    <w:p w14:paraId="148B9495">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（1）计算方式</w:t>
      </w:r>
    </w:p>
    <w:p w14:paraId="3B5255A7">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bookmarkStart w:id="1" w:name="_Hlk51156883"/>
      <w:r>
        <w:rPr>
          <w:rFonts w:hint="eastAsia" w:ascii="仿宋_GB2312" w:hAnsi="仿宋_GB2312" w:eastAsia="仿宋_GB2312" w:cs="仿宋_GB2312"/>
          <w:color w:val="auto"/>
          <w:kern w:val="0"/>
          <w:sz w:val="28"/>
          <w:szCs w:val="28"/>
          <w:highlight w:val="none"/>
          <w:lang w:val="en-US" w:eastAsia="zh-CN"/>
        </w:rPr>
        <w:t>承租人当月应缴纳电费=承租人当月用电量×轨道交通当月平均电价。</w:t>
      </w:r>
    </w:p>
    <w:bookmarkEnd w:id="1"/>
    <w:p w14:paraId="49A3C85E">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（2）承租人当月用电量是指出租人供电输出端电表当月抄表值与上次抄表值之差。</w:t>
      </w:r>
    </w:p>
    <w:p w14:paraId="704B1D32">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（3）轨道交通当月平均电价</w:t>
      </w:r>
    </w:p>
    <w:p w14:paraId="32A98BE9">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轨道交通当月平均电价=轨道交通运营单位当月向供电部门缴费总额÷轨道交通运营单位当月总用电量</w:t>
      </w:r>
    </w:p>
    <w:p w14:paraId="793B3CE4">
      <w:pPr>
        <w:numPr>
          <w:ilvl w:val="0"/>
          <w:numId w:val="0"/>
        </w:numPr>
        <w:autoSpaceDE/>
        <w:autoSpaceDN/>
        <w:adjustRightInd/>
        <w:spacing w:line="360" w:lineRule="auto"/>
        <w:ind w:right="42" w:rightChars="20" w:firstLine="560" w:firstLineChars="200"/>
        <w:jc w:val="left"/>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4.采用轨道交通供水时的水费计算原则：</w:t>
      </w:r>
    </w:p>
    <w:p w14:paraId="709A548D">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（1）计算方式</w:t>
      </w:r>
    </w:p>
    <w:p w14:paraId="6E645AFC">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承租人当月应缴纳水费=承租人当月用水量×轨道交通当月用水综合单价。</w:t>
      </w:r>
    </w:p>
    <w:p w14:paraId="4047B2DB">
      <w:pPr>
        <w:widowControl/>
        <w:numPr>
          <w:ilvl w:val="0"/>
          <w:numId w:val="0"/>
        </w:numPr>
        <w:spacing w:line="360" w:lineRule="auto"/>
        <w:ind w:left="0"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（2）承租人当月用水量是指出租人供水输出端水表当月抄表值与上次抄表值之差。</w:t>
      </w:r>
    </w:p>
    <w:p w14:paraId="7A6F28AC">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（3）轨道交通当月用水综合单价</w:t>
      </w:r>
    </w:p>
    <w:p w14:paraId="332B0B12">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因供水部门向轨道交通运营单位开具的票据税率较低、轨道交通运营单位能开具的发票税率较高，中间税差由承租人承担，当月用水综合单价计算公式如下：</w:t>
      </w:r>
    </w:p>
    <w:p w14:paraId="0D479352">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轨道交通当月用水综合单价=当月自来水缴纳单价÷(1+供水公司应纳税税率）×（1+轨道交通运营单位应纳税税率）+污水处理费单价×（1+轨道交通运营单位应纳税税率）+水资源税单价×（1+轨道交通运营单位应纳税税率）。</w:t>
      </w:r>
    </w:p>
    <w:p w14:paraId="17B14C6B">
      <w:pPr>
        <w:widowControl/>
        <w:numPr>
          <w:ilvl w:val="0"/>
          <w:numId w:val="0"/>
        </w:numPr>
        <w:autoSpaceDE/>
        <w:autoSpaceDN/>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（4）轨道交通当月用水综合单价计算方式以供水公司实际收取类目进行调整，税率以国家实时税收政策为准。</w:t>
      </w:r>
    </w:p>
    <w:p w14:paraId="0B048F40">
      <w:pPr>
        <w:numPr>
          <w:ilvl w:val="0"/>
          <w:numId w:val="0"/>
        </w:numPr>
        <w:adjustRightInd w:val="0"/>
        <w:spacing w:line="240" w:lineRule="auto"/>
        <w:ind w:right="42" w:rightChars="20"/>
        <w:jc w:val="left"/>
        <w:outlineLvl w:val="9"/>
        <w:rPr>
          <w:rFonts w:hint="eastAsia" w:ascii="黑体" w:hAnsi="黑体" w:eastAsia="黑体" w:cs="黑体"/>
          <w:color w:val="auto"/>
          <w:kern w:val="2"/>
          <w:sz w:val="28"/>
          <w:szCs w:val="28"/>
          <w:highlight w:val="none"/>
          <w:lang w:val="en-US" w:eastAsia="zh-CN"/>
        </w:rPr>
      </w:pPr>
      <w:r>
        <w:rPr>
          <w:rFonts w:hint="eastAsia" w:ascii="黑体" w:hAnsi="黑体" w:eastAsia="黑体" w:cs="黑体"/>
          <w:color w:val="auto"/>
          <w:kern w:val="2"/>
          <w:sz w:val="28"/>
          <w:szCs w:val="28"/>
          <w:highlight w:val="none"/>
          <w:lang w:val="en-US" w:eastAsia="zh-CN"/>
        </w:rPr>
        <w:t>履约担保</w:t>
      </w:r>
    </w:p>
    <w:p w14:paraId="45AC8AE3">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一</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履约担保应以银行转账或</w:t>
      </w:r>
      <w:r>
        <w:rPr>
          <w:rFonts w:hint="eastAsia" w:ascii="仿宋_GB2312" w:hAnsi="仿宋_GB2312" w:eastAsia="仿宋_GB2312" w:cs="仿宋_GB2312"/>
          <w:color w:val="auto"/>
          <w:kern w:val="0"/>
          <w:sz w:val="28"/>
          <w:szCs w:val="28"/>
          <w:highlight w:val="none"/>
          <w:lang w:val="en-US" w:eastAsia="zh-CN"/>
        </w:rPr>
        <w:t>履约</w:t>
      </w:r>
      <w:r>
        <w:rPr>
          <w:rFonts w:hint="eastAsia" w:ascii="仿宋_GB2312" w:hAnsi="仿宋_GB2312" w:eastAsia="仿宋_GB2312" w:cs="仿宋_GB2312"/>
          <w:color w:val="auto"/>
          <w:kern w:val="0"/>
          <w:sz w:val="28"/>
          <w:szCs w:val="28"/>
          <w:highlight w:val="none"/>
        </w:rPr>
        <w:t>保函的形式提交。</w:t>
      </w:r>
    </w:p>
    <w:p w14:paraId="3FF9B361">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（二）履约保证金为成交价首年租金的50%（以万元为单位向上取整），承租人应在合同签订之前将履约保证金提交至出租人指定账户。</w:t>
      </w:r>
    </w:p>
    <w:p w14:paraId="0178F573">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（三）合同执行期间，承租人可将履约保证金换为履约保函，</w:t>
      </w:r>
    </w:p>
    <w:p w14:paraId="6954A858">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1.保函要求：如以银行保函形式提交履约担保，该保函应由出租人认可的国内银行出具，且应为无条件的、不可撤销的、有效的见索即付履约保函。</w:t>
      </w:r>
    </w:p>
    <w:p w14:paraId="55D8D248">
      <w:pPr>
        <w:numPr>
          <w:ilvl w:val="0"/>
          <w:numId w:val="0"/>
        </w:numPr>
        <w:adjustRightInd/>
        <w:spacing w:line="360" w:lineRule="auto"/>
        <w:ind w:right="42" w:rightChars="20" w:firstLine="560" w:firstLineChars="200"/>
        <w:jc w:val="left"/>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保函有效期：承租人应确保履约保函在经营期内始终有效。在履约保函有效期满前15个工作日，承租人必须向出租人提交有效期已延长的履约保函。若承租人未能按规定延长履约担保有效期，出租人有权提取履约保函项下的全部金额作为履约保证金，直至下一份有效银行保函生效，届时出租人应将履约保证金无息退还承租人。</w:t>
      </w:r>
    </w:p>
    <w:p w14:paraId="7C1C554E">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（四）中标人缴纳履约保证金且自中标之日起2个月仍未与出租人签订租赁合同的，出租人有权扣除履约保证金、取消本次交易且不承担任何法律和赔偿责任。</w:t>
      </w:r>
    </w:p>
    <w:p w14:paraId="330233A0">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（五）履约保证金的使用</w:t>
      </w:r>
    </w:p>
    <w:p w14:paraId="1E697A6F">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1.租赁期限内，若承租人存在违约或其他损害出租人利益的行为，出租人有权从履约保函/履约保证金中扣除承租人应付的违约金、赔偿金、租金、水电费或损失，承租人应将不足部分和被扣除的履约保证金在扣除后30个自然日内予以补足。</w:t>
      </w:r>
    </w:p>
    <w:p w14:paraId="5E1B347B">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逾期未补足履约保证金的，每逾期1</w:t>
      </w:r>
      <w:r>
        <w:rPr>
          <w:rFonts w:hint="eastAsia" w:ascii="仿宋_GB2312" w:hAnsi="仿宋_GB2312" w:eastAsia="仿宋_GB2312" w:cs="仿宋_GB2312"/>
          <w:color w:val="auto"/>
          <w:kern w:val="0"/>
          <w:sz w:val="28"/>
          <w:szCs w:val="28"/>
          <w:highlight w:val="none"/>
          <w:lang w:val="en-US" w:eastAsia="zh-CN"/>
        </w:rPr>
        <w:t>个自然日</w:t>
      </w:r>
      <w:r>
        <w:rPr>
          <w:rFonts w:hint="eastAsia" w:ascii="仿宋_GB2312" w:hAnsi="仿宋_GB2312" w:eastAsia="仿宋_GB2312" w:cs="仿宋_GB2312"/>
          <w:color w:val="auto"/>
          <w:kern w:val="0"/>
          <w:sz w:val="28"/>
          <w:szCs w:val="28"/>
          <w:highlight w:val="none"/>
        </w:rPr>
        <w:t>，按未补足履约保证金金额的0.2‰支付违约金。逾期30</w:t>
      </w:r>
      <w:r>
        <w:rPr>
          <w:rFonts w:hint="eastAsia" w:ascii="仿宋_GB2312" w:hAnsi="仿宋_GB2312" w:eastAsia="仿宋_GB2312" w:cs="仿宋_GB2312"/>
          <w:color w:val="auto"/>
          <w:kern w:val="0"/>
          <w:sz w:val="28"/>
          <w:szCs w:val="28"/>
          <w:highlight w:val="none"/>
          <w:lang w:val="en-US" w:eastAsia="zh-CN"/>
        </w:rPr>
        <w:t>个自然日且未取得出租人同意的</w:t>
      </w:r>
      <w:r>
        <w:rPr>
          <w:rFonts w:hint="eastAsia" w:ascii="仿宋_GB2312" w:hAnsi="仿宋_GB2312" w:eastAsia="仿宋_GB2312" w:cs="仿宋_GB2312"/>
          <w:color w:val="auto"/>
          <w:kern w:val="0"/>
          <w:sz w:val="28"/>
          <w:szCs w:val="28"/>
          <w:highlight w:val="none"/>
        </w:rPr>
        <w:t>，扣除</w:t>
      </w:r>
      <w:r>
        <w:rPr>
          <w:rFonts w:hint="eastAsia" w:ascii="仿宋_GB2312" w:hAnsi="仿宋_GB2312" w:eastAsia="仿宋_GB2312" w:cs="仿宋_GB2312"/>
          <w:color w:val="auto"/>
          <w:kern w:val="0"/>
          <w:sz w:val="28"/>
          <w:szCs w:val="28"/>
          <w:highlight w:val="none"/>
          <w:lang w:val="en-US" w:eastAsia="zh-CN"/>
        </w:rPr>
        <w:t>剩余</w:t>
      </w:r>
      <w:r>
        <w:rPr>
          <w:rFonts w:hint="eastAsia" w:ascii="仿宋_GB2312" w:hAnsi="仿宋_GB2312" w:eastAsia="仿宋_GB2312" w:cs="仿宋_GB2312"/>
          <w:color w:val="auto"/>
          <w:kern w:val="0"/>
          <w:sz w:val="28"/>
          <w:szCs w:val="28"/>
          <w:highlight w:val="none"/>
        </w:rPr>
        <w:t>履约保证金作为违约金，同时</w:t>
      </w:r>
      <w:r>
        <w:rPr>
          <w:rFonts w:hint="eastAsia" w:ascii="仿宋_GB2312" w:hAnsi="仿宋_GB2312" w:eastAsia="仿宋_GB2312" w:cs="仿宋_GB2312"/>
          <w:color w:val="auto"/>
          <w:kern w:val="0"/>
          <w:sz w:val="28"/>
          <w:szCs w:val="28"/>
          <w:highlight w:val="none"/>
          <w:lang w:eastAsia="zh-CN"/>
        </w:rPr>
        <w:t>出租人</w:t>
      </w:r>
      <w:r>
        <w:rPr>
          <w:rFonts w:hint="eastAsia" w:ascii="仿宋_GB2312" w:hAnsi="仿宋_GB2312" w:eastAsia="仿宋_GB2312" w:cs="仿宋_GB2312"/>
          <w:color w:val="auto"/>
          <w:kern w:val="0"/>
          <w:sz w:val="28"/>
          <w:szCs w:val="28"/>
          <w:highlight w:val="none"/>
        </w:rPr>
        <w:t>有权单方解除本合同且不承担任何违约、赔偿</w:t>
      </w:r>
      <w:r>
        <w:rPr>
          <w:rFonts w:hint="eastAsia" w:ascii="仿宋_GB2312" w:hAnsi="仿宋_GB2312" w:eastAsia="仿宋_GB2312" w:cs="仿宋_GB2312"/>
          <w:color w:val="auto"/>
          <w:kern w:val="0"/>
          <w:sz w:val="28"/>
          <w:szCs w:val="28"/>
          <w:highlight w:val="none"/>
          <w:lang w:val="en-US" w:eastAsia="zh-CN"/>
        </w:rPr>
        <w:t>责任；因此给出租人造成损失的，出租人有权追究赔偿责任。</w:t>
      </w:r>
    </w:p>
    <w:p w14:paraId="2CBE39B6">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3.在下列条件同时满足后30个自然日内，出租人将履约保函/</w:t>
      </w:r>
      <w:r>
        <w:rPr>
          <w:rFonts w:hint="eastAsia" w:ascii="仿宋_GB2312" w:hAnsi="仿宋_GB2312" w:eastAsia="仿宋_GB2312" w:cs="仿宋_GB2312"/>
          <w:color w:val="auto"/>
          <w:kern w:val="0"/>
          <w:sz w:val="28"/>
          <w:szCs w:val="28"/>
          <w:highlight w:val="none"/>
        </w:rPr>
        <w:t>履约保证金</w:t>
      </w:r>
      <w:r>
        <w:rPr>
          <w:rFonts w:hint="eastAsia" w:ascii="仿宋_GB2312" w:hAnsi="仿宋_GB2312" w:eastAsia="仿宋_GB2312" w:cs="仿宋_GB2312"/>
          <w:color w:val="auto"/>
          <w:kern w:val="0"/>
          <w:sz w:val="28"/>
          <w:szCs w:val="28"/>
          <w:highlight w:val="none"/>
          <w:lang w:val="en-US" w:eastAsia="zh-CN"/>
        </w:rPr>
        <w:t>的余额无息退回给承租人：</w:t>
      </w:r>
    </w:p>
    <w:p w14:paraId="2419D324">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租赁终止（含本合同约定的租赁期限届满、非因</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违约导致的合同解除及租赁终止，下同）</w:t>
      </w:r>
      <w:r>
        <w:rPr>
          <w:rFonts w:hint="eastAsia" w:ascii="仿宋_GB2312" w:hAnsi="仿宋_GB2312" w:eastAsia="仿宋_GB2312" w:cs="仿宋_GB2312"/>
          <w:color w:val="auto"/>
          <w:kern w:val="0"/>
          <w:sz w:val="28"/>
          <w:szCs w:val="28"/>
          <w:highlight w:val="none"/>
          <w:lang w:val="en-US" w:eastAsia="zh-CN"/>
        </w:rPr>
        <w:t>。</w:t>
      </w:r>
    </w:p>
    <w:p w14:paraId="0A66FA7F">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已付清合同约定的各项费用或</w:t>
      </w:r>
      <w:r>
        <w:rPr>
          <w:rFonts w:hint="eastAsia" w:ascii="仿宋_GB2312" w:hAnsi="仿宋_GB2312" w:eastAsia="仿宋_GB2312" w:cs="仿宋_GB2312"/>
          <w:color w:val="auto"/>
          <w:kern w:val="0"/>
          <w:sz w:val="28"/>
          <w:szCs w:val="28"/>
          <w:highlight w:val="none"/>
          <w:lang w:eastAsia="zh-CN"/>
        </w:rPr>
        <w:t>出租人</w:t>
      </w:r>
      <w:r>
        <w:rPr>
          <w:rFonts w:hint="eastAsia" w:ascii="仿宋_GB2312" w:hAnsi="仿宋_GB2312" w:eastAsia="仿宋_GB2312" w:cs="仿宋_GB2312"/>
          <w:color w:val="auto"/>
          <w:kern w:val="0"/>
          <w:sz w:val="28"/>
          <w:szCs w:val="28"/>
          <w:highlight w:val="none"/>
        </w:rPr>
        <w:t>从履约保证金中扣除应扣费用后尚有余额</w:t>
      </w:r>
      <w:r>
        <w:rPr>
          <w:rFonts w:hint="eastAsia" w:ascii="仿宋_GB2312" w:hAnsi="仿宋_GB2312" w:eastAsia="仿宋_GB2312" w:cs="仿宋_GB2312"/>
          <w:color w:val="auto"/>
          <w:kern w:val="0"/>
          <w:sz w:val="28"/>
          <w:szCs w:val="28"/>
          <w:highlight w:val="none"/>
          <w:lang w:val="en-US" w:eastAsia="zh-CN"/>
        </w:rPr>
        <w:t>。</w:t>
      </w:r>
    </w:p>
    <w:p w14:paraId="571C2C78">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已将</w:t>
      </w:r>
      <w:r>
        <w:rPr>
          <w:rFonts w:hint="eastAsia" w:ascii="仿宋_GB2312" w:hAnsi="仿宋_GB2312" w:eastAsia="仿宋_GB2312" w:cs="仿宋_GB2312"/>
          <w:color w:val="auto"/>
          <w:kern w:val="0"/>
          <w:sz w:val="28"/>
          <w:szCs w:val="28"/>
          <w:highlight w:val="none"/>
          <w:lang w:eastAsia="zh-CN"/>
        </w:rPr>
        <w:t>出租标的</w:t>
      </w:r>
      <w:r>
        <w:rPr>
          <w:rFonts w:hint="eastAsia" w:ascii="仿宋_GB2312" w:hAnsi="仿宋_GB2312" w:eastAsia="仿宋_GB2312" w:cs="仿宋_GB2312"/>
          <w:color w:val="auto"/>
          <w:kern w:val="0"/>
          <w:sz w:val="28"/>
          <w:szCs w:val="28"/>
          <w:highlight w:val="none"/>
        </w:rPr>
        <w:t>及附属设施设备物完好、整洁地交还给</w:t>
      </w:r>
      <w:r>
        <w:rPr>
          <w:rFonts w:hint="eastAsia" w:ascii="仿宋_GB2312" w:hAnsi="仿宋_GB2312" w:eastAsia="仿宋_GB2312" w:cs="仿宋_GB2312"/>
          <w:color w:val="auto"/>
          <w:kern w:val="0"/>
          <w:sz w:val="28"/>
          <w:szCs w:val="28"/>
          <w:highlight w:val="none"/>
          <w:lang w:eastAsia="zh-CN"/>
        </w:rPr>
        <w:t>出租人</w:t>
      </w:r>
      <w:r>
        <w:rPr>
          <w:rFonts w:hint="eastAsia" w:ascii="仿宋_GB2312" w:hAnsi="仿宋_GB2312" w:eastAsia="仿宋_GB2312" w:cs="仿宋_GB2312"/>
          <w:color w:val="auto"/>
          <w:kern w:val="0"/>
          <w:sz w:val="28"/>
          <w:szCs w:val="28"/>
          <w:highlight w:val="none"/>
          <w:lang w:val="en-US" w:eastAsia="zh-CN"/>
        </w:rPr>
        <w:t>。</w:t>
      </w:r>
    </w:p>
    <w:p w14:paraId="2E4DB417">
      <w:pPr>
        <w:numPr>
          <w:ilvl w:val="0"/>
          <w:numId w:val="0"/>
        </w:numPr>
        <w:adjustRightInd/>
        <w:spacing w:line="36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向</w:t>
      </w:r>
      <w:r>
        <w:rPr>
          <w:rFonts w:hint="eastAsia" w:ascii="仿宋_GB2312" w:hAnsi="仿宋_GB2312" w:eastAsia="仿宋_GB2312" w:cs="仿宋_GB2312"/>
          <w:color w:val="auto"/>
          <w:kern w:val="0"/>
          <w:sz w:val="28"/>
          <w:szCs w:val="28"/>
          <w:highlight w:val="none"/>
          <w:lang w:eastAsia="zh-CN"/>
        </w:rPr>
        <w:t>出租人</w:t>
      </w:r>
      <w:r>
        <w:rPr>
          <w:rFonts w:hint="eastAsia" w:ascii="仿宋_GB2312" w:hAnsi="仿宋_GB2312" w:eastAsia="仿宋_GB2312" w:cs="仿宋_GB2312"/>
          <w:color w:val="auto"/>
          <w:kern w:val="0"/>
          <w:sz w:val="28"/>
          <w:szCs w:val="28"/>
          <w:highlight w:val="none"/>
        </w:rPr>
        <w:t>书面提出</w:t>
      </w:r>
      <w:r>
        <w:rPr>
          <w:rFonts w:hint="eastAsia" w:ascii="仿宋_GB2312" w:hAnsi="仿宋_GB2312" w:eastAsia="仿宋_GB2312" w:cs="仿宋_GB2312"/>
          <w:color w:val="auto"/>
          <w:kern w:val="0"/>
          <w:sz w:val="28"/>
          <w:szCs w:val="28"/>
          <w:highlight w:val="none"/>
          <w:lang w:val="en-US" w:eastAsia="zh-CN"/>
        </w:rPr>
        <w:t>履约保函/</w:t>
      </w:r>
      <w:r>
        <w:rPr>
          <w:rFonts w:hint="eastAsia" w:ascii="仿宋_GB2312" w:hAnsi="仿宋_GB2312" w:eastAsia="仿宋_GB2312" w:cs="仿宋_GB2312"/>
          <w:color w:val="auto"/>
          <w:kern w:val="0"/>
          <w:sz w:val="28"/>
          <w:szCs w:val="28"/>
          <w:highlight w:val="none"/>
        </w:rPr>
        <w:t>履约保证金返还申请（附</w:t>
      </w:r>
      <w:r>
        <w:rPr>
          <w:rFonts w:hint="eastAsia" w:ascii="仿宋_GB2312" w:hAnsi="仿宋_GB2312" w:eastAsia="仿宋_GB2312" w:cs="仿宋_GB2312"/>
          <w:color w:val="auto"/>
          <w:kern w:val="0"/>
          <w:sz w:val="28"/>
          <w:szCs w:val="28"/>
          <w:highlight w:val="none"/>
          <w:lang w:eastAsia="zh-CN"/>
        </w:rPr>
        <w:t>承租人</w:t>
      </w:r>
      <w:r>
        <w:rPr>
          <w:rFonts w:hint="eastAsia" w:ascii="仿宋_GB2312" w:hAnsi="仿宋_GB2312" w:eastAsia="仿宋_GB2312" w:cs="仿宋_GB2312"/>
          <w:color w:val="auto"/>
          <w:kern w:val="0"/>
          <w:sz w:val="28"/>
          <w:szCs w:val="28"/>
          <w:highlight w:val="none"/>
        </w:rPr>
        <w:t>收款账户）</w:t>
      </w:r>
      <w:r>
        <w:rPr>
          <w:rFonts w:hint="eastAsia" w:ascii="仿宋_GB2312" w:hAnsi="仿宋_GB2312" w:eastAsia="仿宋_GB2312" w:cs="仿宋_GB2312"/>
          <w:color w:val="auto"/>
          <w:kern w:val="0"/>
          <w:sz w:val="28"/>
          <w:szCs w:val="28"/>
          <w:highlight w:val="none"/>
          <w:lang w:val="en-US" w:eastAsia="zh-CN"/>
        </w:rPr>
        <w:t>。</w:t>
      </w:r>
    </w:p>
    <w:p w14:paraId="6E0EC85B">
      <w:pPr>
        <w:numPr>
          <w:ilvl w:val="0"/>
          <w:numId w:val="0"/>
        </w:numPr>
        <w:spacing w:line="240" w:lineRule="auto"/>
        <w:ind w:right="42"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p>
    <w:p w14:paraId="0915A6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C5E2A"/>
    <w:rsid w:val="4181792C"/>
    <w:rsid w:val="5BA60541"/>
    <w:rsid w:val="5E325FBA"/>
    <w:rsid w:val="79D5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3563</Words>
  <Characters>3825</Characters>
  <Lines>0</Lines>
  <Paragraphs>0</Paragraphs>
  <TotalTime>3</TotalTime>
  <ScaleCrop>false</ScaleCrop>
  <LinksUpToDate>false</LinksUpToDate>
  <CharactersWithSpaces>3831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怡~ (^.^)</cp:lastModifiedBy>
  <dcterms:modified xsi:type="dcterms:W3CDTF">2025-09-29T05:14:58Z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eyJoZGlkIjoiYTkwMzAxYzNjYWIxZDY1MGVhZTVmM2JmNTNjNGQ5MmQiLCJ1c2VySWQiOiI0NTA3MzA5NzYifQ==</vt:lpwstr>
  </property>
  <property fmtid="{D5CDD505-2E9C-101B-9397-08002B2CF9AE}" pid="4" name="ICV">
    <vt:lpwstr>6283F29E860C46D5801CCB31DD33C7D2_12</vt:lpwstr>
  </property>
</Properties>
</file>