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BD68A">
      <w:pPr>
        <w:adjustRightInd w:val="0"/>
        <w:spacing w:line="500" w:lineRule="exact"/>
        <w:ind w:firstLine="3654" w:firstLineChars="1300"/>
        <w:rPr>
          <w:rFonts w:ascii="黑体" w:hAnsi="黑体" w:eastAsia="黑体"/>
          <w:b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b/>
          <w:color w:val="auto"/>
          <w:sz w:val="28"/>
          <w:szCs w:val="28"/>
          <w:highlight w:val="none"/>
        </w:rPr>
        <w:t>经营权费</w:t>
      </w:r>
      <w:bookmarkStart w:id="0" w:name="_GoBack"/>
      <w:bookmarkEnd w:id="0"/>
    </w:p>
    <w:p w14:paraId="32010148">
      <w:pPr>
        <w:spacing w:line="360" w:lineRule="auto"/>
        <w:ind w:right="-483" w:rightChars="-230" w:firstLine="480" w:firstLineChars="200"/>
        <w:rPr>
          <w:rFonts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  <w:t>（一）经营权费收取</w:t>
      </w:r>
    </w:p>
    <w:p w14:paraId="7C8EAD17">
      <w:pPr>
        <w:spacing w:line="360" w:lineRule="auto"/>
        <w:ind w:right="-483" w:rightChars="-230" w:firstLine="480" w:firstLineChars="200"/>
        <w:rPr>
          <w:rFonts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  <w:t>广告经营权费按照先交后用的原则收取，收取计划如下：</w:t>
      </w:r>
    </w:p>
    <w:p w14:paraId="4CDDB41E">
      <w:pPr>
        <w:spacing w:line="360" w:lineRule="auto"/>
        <w:ind w:right="-483" w:rightChars="-230" w:firstLine="480" w:firstLineChars="200"/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  <w:t>本项目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  <w:lang w:eastAsia="zh-CN"/>
        </w:rPr>
        <w:t>经营权费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  <w:t>分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  <w:t>个年度计算，每年度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  <w:lang w:eastAsia="zh-CN"/>
        </w:rPr>
        <w:t>经营权费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  <w:t>分2期平均支付，每6个月支付一期，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  <w:lang w:eastAsia="zh-CN"/>
        </w:rPr>
        <w:t>经营单位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  <w:t>自合同签订生效之日后30日内支付第一年度第1期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  <w:lang w:eastAsia="zh-CN"/>
        </w:rPr>
        <w:t>经营权费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  <w:t>，第一年度第1期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  <w:lang w:eastAsia="zh-CN"/>
        </w:rPr>
        <w:t>经营权费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  <w:t>到期前30日内，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  <w:lang w:eastAsia="zh-CN"/>
        </w:rPr>
        <w:t>经营单位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  <w:t>支付第一年度第2期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  <w:lang w:eastAsia="zh-CN"/>
        </w:rPr>
        <w:t>经营权费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  <w:t>，后续各期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  <w:lang w:eastAsia="zh-CN"/>
        </w:rPr>
        <w:t>经营权费</w:t>
      </w: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  <w:t>支付时间依此类推。</w:t>
      </w:r>
    </w:p>
    <w:p w14:paraId="6D253CAC">
      <w:pPr>
        <w:spacing w:line="360" w:lineRule="auto"/>
        <w:ind w:right="-483" w:rightChars="-230" w:firstLine="480" w:firstLineChars="200"/>
        <w:rPr>
          <w:rFonts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  <w:t>（二）经营权费计算办法</w:t>
      </w:r>
    </w:p>
    <w:p w14:paraId="6C7DA9B4">
      <w:pPr>
        <w:spacing w:line="360" w:lineRule="auto"/>
        <w:ind w:right="-483" w:rightChars="-230" w:firstLine="480" w:firstLineChars="200"/>
        <w:rPr>
          <w:rFonts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eastAsia="仿宋_GB2312" w:cs="Arial" w:hAnsiTheme="majorEastAsia"/>
          <w:color w:val="auto"/>
          <w:kern w:val="0"/>
          <w:sz w:val="24"/>
          <w:szCs w:val="24"/>
          <w:highlight w:val="none"/>
        </w:rPr>
        <w:t>广告经营权费按照本项目招商成交金额执行,各年度经营权费金额支付比例如下表：</w:t>
      </w:r>
    </w:p>
    <w:tbl>
      <w:tblPr>
        <w:tblStyle w:val="2"/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051"/>
        <w:gridCol w:w="4819"/>
      </w:tblGrid>
      <w:tr w14:paraId="5701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18" w:type="dxa"/>
            <w:vAlign w:val="center"/>
          </w:tcPr>
          <w:p w14:paraId="57E1D9EF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051" w:type="dxa"/>
            <w:vAlign w:val="center"/>
          </w:tcPr>
          <w:p w14:paraId="29C0A8FB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经营年度</w:t>
            </w:r>
          </w:p>
        </w:tc>
        <w:tc>
          <w:tcPr>
            <w:tcW w:w="4819" w:type="dxa"/>
            <w:vAlign w:val="center"/>
          </w:tcPr>
          <w:p w14:paraId="28CC8474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经营权费</w:t>
            </w:r>
            <w:r>
              <w:rPr>
                <w:rFonts w:hint="eastAsia" w:ascii="仿宋_GB2312" w:eastAsia="仿宋_GB2312" w:cs="Arial" w:hAnsiTheme="majorEastAsia"/>
                <w:color w:val="auto"/>
                <w:kern w:val="0"/>
                <w:sz w:val="24"/>
                <w:szCs w:val="24"/>
                <w:highlight w:val="none"/>
              </w:rPr>
              <w:t>支付</w:t>
            </w: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比例</w:t>
            </w:r>
          </w:p>
        </w:tc>
      </w:tr>
      <w:tr w14:paraId="6BE1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18" w:type="dxa"/>
            <w:vAlign w:val="center"/>
          </w:tcPr>
          <w:p w14:paraId="28F2A301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051" w:type="dxa"/>
            <w:vAlign w:val="center"/>
          </w:tcPr>
          <w:p w14:paraId="3AAF5864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第一年度</w:t>
            </w:r>
          </w:p>
        </w:tc>
        <w:tc>
          <w:tcPr>
            <w:tcW w:w="4819" w:type="dxa"/>
            <w:vAlign w:val="center"/>
          </w:tcPr>
          <w:p w14:paraId="5F52E5A1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成交金额的</w:t>
            </w: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18.10%</w:t>
            </w:r>
          </w:p>
        </w:tc>
      </w:tr>
      <w:tr w14:paraId="5500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18" w:type="dxa"/>
            <w:vAlign w:val="center"/>
          </w:tcPr>
          <w:p w14:paraId="1537D0B5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051" w:type="dxa"/>
            <w:vAlign w:val="center"/>
          </w:tcPr>
          <w:p w14:paraId="6CBC61EC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第二年度</w:t>
            </w:r>
          </w:p>
        </w:tc>
        <w:tc>
          <w:tcPr>
            <w:tcW w:w="4819" w:type="dxa"/>
            <w:vAlign w:val="center"/>
          </w:tcPr>
          <w:p w14:paraId="11FEE84E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成交金额的</w:t>
            </w: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19.00%</w:t>
            </w:r>
          </w:p>
        </w:tc>
      </w:tr>
      <w:tr w14:paraId="7117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8" w:type="dxa"/>
            <w:vAlign w:val="center"/>
          </w:tcPr>
          <w:p w14:paraId="2CDC06B6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051" w:type="dxa"/>
            <w:vAlign w:val="center"/>
          </w:tcPr>
          <w:p w14:paraId="27DB3482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第三年度</w:t>
            </w:r>
          </w:p>
        </w:tc>
        <w:tc>
          <w:tcPr>
            <w:tcW w:w="4819" w:type="dxa"/>
            <w:vAlign w:val="center"/>
          </w:tcPr>
          <w:p w14:paraId="7EAE1744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成交金额的</w:t>
            </w: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19.95%</w:t>
            </w:r>
          </w:p>
        </w:tc>
      </w:tr>
      <w:tr w14:paraId="4017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8" w:type="dxa"/>
            <w:vAlign w:val="center"/>
          </w:tcPr>
          <w:p w14:paraId="6A72EDFD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051" w:type="dxa"/>
            <w:vAlign w:val="center"/>
          </w:tcPr>
          <w:p w14:paraId="66E45540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第四年度</w:t>
            </w:r>
          </w:p>
        </w:tc>
        <w:tc>
          <w:tcPr>
            <w:tcW w:w="4819" w:type="dxa"/>
            <w:vAlign w:val="center"/>
          </w:tcPr>
          <w:p w14:paraId="5EE88492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成交金额的20.95%</w:t>
            </w:r>
          </w:p>
        </w:tc>
      </w:tr>
      <w:tr w14:paraId="0FF7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18" w:type="dxa"/>
            <w:vAlign w:val="center"/>
          </w:tcPr>
          <w:p w14:paraId="65BF46A7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051" w:type="dxa"/>
            <w:vAlign w:val="center"/>
          </w:tcPr>
          <w:p w14:paraId="0C9CD500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第五年度</w:t>
            </w:r>
          </w:p>
        </w:tc>
        <w:tc>
          <w:tcPr>
            <w:tcW w:w="4819" w:type="dxa"/>
            <w:vAlign w:val="center"/>
          </w:tcPr>
          <w:p w14:paraId="6334EDC4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成交金额的</w:t>
            </w: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22.00%</w:t>
            </w:r>
          </w:p>
        </w:tc>
      </w:tr>
      <w:tr w14:paraId="387C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8523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2280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D7CC">
            <w:pPr>
              <w:numPr>
                <w:ilvl w:val="2"/>
                <w:numId w:val="0"/>
              </w:num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成交金额的100</w:t>
            </w: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.00</w:t>
            </w:r>
            <w:r>
              <w:rPr>
                <w:rFonts w:hint="eastAsia" w:ascii="仿宋_GB2312" w:eastAsia="仿宋_GB2312" w:hAnsiTheme="minorEastAsia"/>
                <w:color w:val="auto"/>
                <w:sz w:val="24"/>
                <w:szCs w:val="24"/>
                <w:highlight w:val="none"/>
              </w:rPr>
              <w:t>%</w:t>
            </w:r>
          </w:p>
        </w:tc>
      </w:tr>
    </w:tbl>
    <w:p w14:paraId="1CD95E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怡~ (^.^)</cp:lastModifiedBy>
  <dcterms:modified xsi:type="dcterms:W3CDTF">2025-09-05T03:10:26Z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eyJoZGlkIjoiYTkwMzAxYzNjYWIxZDY1MGVhZTVmM2JmNTNjNGQ5MmQiLCJ1c2VySWQiOiI0NTA3MzA5NzYifQ==</vt:lpwstr>
  </property>
  <property fmtid="{D5CDD505-2E9C-101B-9397-08002B2CF9AE}" pid="4" name="ICV">
    <vt:lpwstr>A1ED864CB20C472CA77DDDFD652E872D_12</vt:lpwstr>
  </property>
</Properties>
</file>