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BA3EC">
      <w:pPr>
        <w:spacing w:line="50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贵阳轨道交通2号线</w:t>
      </w:r>
      <w:r>
        <w:rPr>
          <w:rFonts w:hint="eastAsia" w:ascii="宋体" w:hAnsi="宋体" w:eastAsia="宋体" w:cs="宋体"/>
          <w:kern w:val="0"/>
          <w:sz w:val="32"/>
          <w:szCs w:val="32"/>
          <w:lang w:eastAsia="zh-CN"/>
        </w:rPr>
        <w:t>二期</w:t>
      </w:r>
      <w:r>
        <w:rPr>
          <w:rFonts w:hint="eastAsia" w:ascii="宋体" w:hAnsi="宋体" w:eastAsia="宋体" w:cs="宋体"/>
          <w:kern w:val="0"/>
          <w:sz w:val="32"/>
          <w:szCs w:val="32"/>
        </w:rPr>
        <w:t>广告资源清单</w:t>
      </w:r>
    </w:p>
    <w:tbl>
      <w:tblPr>
        <w:tblStyle w:val="2"/>
        <w:tblpPr w:leftFromText="180" w:rightFromText="180" w:vertAnchor="text" w:horzAnchor="page" w:tblpX="1907" w:tblpY="493"/>
        <w:tblOverlap w:val="never"/>
        <w:tblW w:w="8737" w:type="dxa"/>
        <w:tblInd w:w="0" w:type="dxa"/>
        <w:tblLayout w:type="autofit"/>
        <w:tblCellMar>
          <w:top w:w="0" w:type="dxa"/>
          <w:left w:w="108" w:type="dxa"/>
          <w:bottom w:w="0" w:type="dxa"/>
          <w:right w:w="108" w:type="dxa"/>
        </w:tblCellMar>
      </w:tblPr>
      <w:tblGrid>
        <w:gridCol w:w="841"/>
        <w:gridCol w:w="1181"/>
        <w:gridCol w:w="721"/>
        <w:gridCol w:w="1082"/>
        <w:gridCol w:w="882"/>
        <w:gridCol w:w="781"/>
        <w:gridCol w:w="924"/>
        <w:gridCol w:w="662"/>
        <w:gridCol w:w="1663"/>
      </w:tblGrid>
      <w:tr w14:paraId="094D2A5D">
        <w:tblPrEx>
          <w:tblCellMar>
            <w:top w:w="0" w:type="dxa"/>
            <w:left w:w="108" w:type="dxa"/>
            <w:bottom w:w="0" w:type="dxa"/>
            <w:right w:w="108" w:type="dxa"/>
          </w:tblCellMar>
        </w:tblPrEx>
        <w:trPr>
          <w:trHeight w:val="540" w:hRule="atLeast"/>
        </w:trPr>
        <w:tc>
          <w:tcPr>
            <w:tcW w:w="8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95C604">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F2876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站名</w:t>
            </w:r>
          </w:p>
        </w:tc>
        <w:tc>
          <w:tcPr>
            <w:tcW w:w="4390" w:type="dxa"/>
            <w:gridSpan w:val="5"/>
            <w:tcBorders>
              <w:top w:val="single" w:color="auto" w:sz="4" w:space="0"/>
              <w:left w:val="nil"/>
              <w:bottom w:val="single" w:color="auto" w:sz="4" w:space="0"/>
              <w:right w:val="single" w:color="000000" w:sz="4" w:space="0"/>
            </w:tcBorders>
            <w:shd w:val="clear" w:color="auto" w:fill="auto"/>
            <w:vAlign w:val="center"/>
          </w:tcPr>
          <w:p w14:paraId="42EE014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12封灯箱</w:t>
            </w:r>
          </w:p>
        </w:tc>
        <w:tc>
          <w:tcPr>
            <w:tcW w:w="6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79AE1E">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梯牌</w:t>
            </w:r>
          </w:p>
        </w:tc>
        <w:tc>
          <w:tcPr>
            <w:tcW w:w="166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FA4D3E">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多媒体预留</w:t>
            </w:r>
          </w:p>
        </w:tc>
      </w:tr>
      <w:tr w14:paraId="61C9983D">
        <w:tblPrEx>
          <w:tblCellMar>
            <w:top w:w="0" w:type="dxa"/>
            <w:left w:w="108" w:type="dxa"/>
            <w:bottom w:w="0" w:type="dxa"/>
            <w:right w:w="108" w:type="dxa"/>
          </w:tblCellMar>
        </w:tblPrEx>
        <w:trPr>
          <w:trHeight w:val="540"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14:paraId="22CBA3A3">
            <w:pPr>
              <w:widowControl/>
              <w:jc w:val="left"/>
              <w:rPr>
                <w:rFonts w:hint="eastAsia" w:ascii="宋体" w:hAnsi="宋体" w:eastAsia="宋体" w:cs="宋体"/>
                <w:b/>
                <w:bCs/>
                <w:kern w:val="0"/>
                <w:sz w:val="18"/>
                <w:szCs w:val="18"/>
              </w:rPr>
            </w:pPr>
          </w:p>
        </w:tc>
        <w:tc>
          <w:tcPr>
            <w:tcW w:w="1181" w:type="dxa"/>
            <w:vMerge w:val="continue"/>
            <w:tcBorders>
              <w:top w:val="single" w:color="auto" w:sz="4" w:space="0"/>
              <w:left w:val="single" w:color="auto" w:sz="4" w:space="0"/>
              <w:bottom w:val="single" w:color="auto" w:sz="4" w:space="0"/>
              <w:right w:val="single" w:color="auto" w:sz="4" w:space="0"/>
            </w:tcBorders>
            <w:vAlign w:val="center"/>
          </w:tcPr>
          <w:p w14:paraId="7D51B247">
            <w:pPr>
              <w:widowControl/>
              <w:jc w:val="left"/>
              <w:rPr>
                <w:rFonts w:hint="eastAsia" w:ascii="宋体" w:hAnsi="宋体" w:eastAsia="宋体" w:cs="宋体"/>
                <w:b/>
                <w:bCs/>
                <w:kern w:val="0"/>
                <w:sz w:val="18"/>
                <w:szCs w:val="18"/>
              </w:rPr>
            </w:pPr>
          </w:p>
        </w:tc>
        <w:tc>
          <w:tcPr>
            <w:tcW w:w="721" w:type="dxa"/>
            <w:tcBorders>
              <w:top w:val="nil"/>
              <w:left w:val="nil"/>
              <w:bottom w:val="single" w:color="auto" w:sz="4" w:space="0"/>
              <w:right w:val="single" w:color="auto" w:sz="4" w:space="0"/>
            </w:tcBorders>
            <w:shd w:val="clear" w:color="auto" w:fill="auto"/>
            <w:vAlign w:val="center"/>
          </w:tcPr>
          <w:p w14:paraId="5EE597F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站厅</w:t>
            </w:r>
          </w:p>
        </w:tc>
        <w:tc>
          <w:tcPr>
            <w:tcW w:w="1082" w:type="dxa"/>
            <w:tcBorders>
              <w:top w:val="nil"/>
              <w:left w:val="nil"/>
              <w:bottom w:val="single" w:color="auto" w:sz="4" w:space="0"/>
              <w:right w:val="single" w:color="auto" w:sz="4" w:space="0"/>
            </w:tcBorders>
            <w:shd w:val="clear" w:color="auto" w:fill="auto"/>
            <w:vAlign w:val="center"/>
          </w:tcPr>
          <w:p w14:paraId="74026C4C">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出入口通道</w:t>
            </w:r>
          </w:p>
        </w:tc>
        <w:tc>
          <w:tcPr>
            <w:tcW w:w="882" w:type="dxa"/>
            <w:tcBorders>
              <w:top w:val="nil"/>
              <w:left w:val="nil"/>
              <w:bottom w:val="single" w:color="auto" w:sz="4" w:space="0"/>
              <w:right w:val="single" w:color="auto" w:sz="4" w:space="0"/>
            </w:tcBorders>
            <w:shd w:val="clear" w:color="auto" w:fill="auto"/>
            <w:vAlign w:val="center"/>
          </w:tcPr>
          <w:p w14:paraId="38546245">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导向灯箱</w:t>
            </w:r>
          </w:p>
        </w:tc>
        <w:tc>
          <w:tcPr>
            <w:tcW w:w="781" w:type="dxa"/>
            <w:tcBorders>
              <w:top w:val="nil"/>
              <w:left w:val="nil"/>
              <w:bottom w:val="single" w:color="auto" w:sz="4" w:space="0"/>
              <w:right w:val="single" w:color="auto" w:sz="4" w:space="0"/>
            </w:tcBorders>
            <w:shd w:val="clear" w:color="auto" w:fill="auto"/>
            <w:vAlign w:val="center"/>
          </w:tcPr>
          <w:p w14:paraId="4DE297C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站台轨行区</w:t>
            </w:r>
          </w:p>
        </w:tc>
        <w:tc>
          <w:tcPr>
            <w:tcW w:w="924" w:type="dxa"/>
            <w:tcBorders>
              <w:top w:val="nil"/>
              <w:left w:val="nil"/>
              <w:bottom w:val="single" w:color="auto" w:sz="4" w:space="0"/>
              <w:right w:val="single" w:color="auto" w:sz="4" w:space="0"/>
            </w:tcBorders>
            <w:shd w:val="clear" w:color="auto" w:fill="auto"/>
            <w:vAlign w:val="center"/>
          </w:tcPr>
          <w:p w14:paraId="3C2754C7">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单站合计</w:t>
            </w:r>
          </w:p>
        </w:tc>
        <w:tc>
          <w:tcPr>
            <w:tcW w:w="662" w:type="dxa"/>
            <w:vMerge w:val="continue"/>
            <w:tcBorders>
              <w:top w:val="single" w:color="auto" w:sz="4" w:space="0"/>
              <w:left w:val="single" w:color="auto" w:sz="4" w:space="0"/>
              <w:bottom w:val="single" w:color="auto" w:sz="4" w:space="0"/>
              <w:right w:val="single" w:color="auto" w:sz="4" w:space="0"/>
            </w:tcBorders>
            <w:vAlign w:val="center"/>
          </w:tcPr>
          <w:p w14:paraId="3FEAB17B">
            <w:pPr>
              <w:widowControl/>
              <w:jc w:val="left"/>
              <w:rPr>
                <w:rFonts w:hint="eastAsia" w:ascii="宋体" w:hAnsi="宋体" w:eastAsia="宋体" w:cs="宋体"/>
                <w:b/>
                <w:bCs/>
                <w:kern w:val="0"/>
                <w:sz w:val="18"/>
                <w:szCs w:val="18"/>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14:paraId="65DFA097">
            <w:pPr>
              <w:widowControl/>
              <w:jc w:val="left"/>
              <w:rPr>
                <w:rFonts w:hint="eastAsia" w:ascii="宋体" w:hAnsi="宋体" w:eastAsia="宋体" w:cs="宋体"/>
                <w:b/>
                <w:bCs/>
                <w:kern w:val="0"/>
                <w:sz w:val="18"/>
                <w:szCs w:val="18"/>
              </w:rPr>
            </w:pPr>
          </w:p>
        </w:tc>
      </w:tr>
      <w:tr w14:paraId="650DF270">
        <w:tblPrEx>
          <w:tblCellMar>
            <w:top w:w="0" w:type="dxa"/>
            <w:left w:w="108" w:type="dxa"/>
            <w:bottom w:w="0" w:type="dxa"/>
            <w:right w:w="108" w:type="dxa"/>
          </w:tblCellMar>
        </w:tblPrEx>
        <w:trPr>
          <w:trHeight w:val="375" w:hRule="atLeast"/>
        </w:trPr>
        <w:tc>
          <w:tcPr>
            <w:tcW w:w="873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CA2DD2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2号线二期</w:t>
            </w:r>
          </w:p>
        </w:tc>
      </w:tr>
      <w:tr w14:paraId="3CF7E3E9">
        <w:tblPrEx>
          <w:tblCellMar>
            <w:top w:w="0" w:type="dxa"/>
            <w:left w:w="108" w:type="dxa"/>
            <w:bottom w:w="0" w:type="dxa"/>
            <w:right w:w="108" w:type="dxa"/>
          </w:tblCellMar>
        </w:tblPrEx>
        <w:trPr>
          <w:trHeight w:val="375"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0CAA9103">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181" w:type="dxa"/>
            <w:tcBorders>
              <w:top w:val="nil"/>
              <w:left w:val="nil"/>
              <w:bottom w:val="single" w:color="auto" w:sz="4" w:space="0"/>
              <w:right w:val="single" w:color="auto" w:sz="4" w:space="0"/>
            </w:tcBorders>
            <w:shd w:val="clear" w:color="auto" w:fill="auto"/>
            <w:vAlign w:val="center"/>
          </w:tcPr>
          <w:p w14:paraId="427417C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贵钢站</w:t>
            </w:r>
          </w:p>
        </w:tc>
        <w:tc>
          <w:tcPr>
            <w:tcW w:w="721" w:type="dxa"/>
            <w:tcBorders>
              <w:top w:val="nil"/>
              <w:left w:val="nil"/>
              <w:bottom w:val="single" w:color="auto" w:sz="4" w:space="0"/>
              <w:right w:val="single" w:color="auto" w:sz="4" w:space="0"/>
            </w:tcBorders>
            <w:shd w:val="clear" w:color="auto" w:fill="auto"/>
            <w:noWrap/>
            <w:vAlign w:val="center"/>
          </w:tcPr>
          <w:p w14:paraId="19724FA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082" w:type="dxa"/>
            <w:tcBorders>
              <w:top w:val="nil"/>
              <w:left w:val="nil"/>
              <w:bottom w:val="single" w:color="auto" w:sz="4" w:space="0"/>
              <w:right w:val="single" w:color="auto" w:sz="4" w:space="0"/>
            </w:tcBorders>
            <w:shd w:val="clear" w:color="auto" w:fill="auto"/>
            <w:noWrap/>
            <w:vAlign w:val="center"/>
          </w:tcPr>
          <w:p w14:paraId="192B40B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882" w:type="dxa"/>
            <w:tcBorders>
              <w:top w:val="nil"/>
              <w:left w:val="nil"/>
              <w:bottom w:val="single" w:color="auto" w:sz="4" w:space="0"/>
              <w:right w:val="single" w:color="auto" w:sz="4" w:space="0"/>
            </w:tcBorders>
            <w:shd w:val="clear" w:color="auto" w:fill="auto"/>
            <w:noWrap/>
            <w:vAlign w:val="center"/>
          </w:tcPr>
          <w:p w14:paraId="6C3B082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1" w:type="dxa"/>
            <w:tcBorders>
              <w:top w:val="nil"/>
              <w:left w:val="nil"/>
              <w:bottom w:val="single" w:color="auto" w:sz="4" w:space="0"/>
              <w:right w:val="single" w:color="auto" w:sz="4" w:space="0"/>
            </w:tcBorders>
            <w:shd w:val="clear" w:color="auto" w:fill="auto"/>
            <w:noWrap/>
            <w:vAlign w:val="center"/>
          </w:tcPr>
          <w:p w14:paraId="26FBDE9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924" w:type="dxa"/>
            <w:tcBorders>
              <w:top w:val="nil"/>
              <w:left w:val="nil"/>
              <w:bottom w:val="single" w:color="auto" w:sz="4" w:space="0"/>
              <w:right w:val="single" w:color="auto" w:sz="4" w:space="0"/>
            </w:tcBorders>
            <w:shd w:val="clear" w:color="auto" w:fill="auto"/>
            <w:noWrap/>
            <w:vAlign w:val="center"/>
          </w:tcPr>
          <w:p w14:paraId="4D79C7C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76</w:t>
            </w:r>
          </w:p>
        </w:tc>
        <w:tc>
          <w:tcPr>
            <w:tcW w:w="662" w:type="dxa"/>
            <w:tcBorders>
              <w:top w:val="nil"/>
              <w:left w:val="nil"/>
              <w:bottom w:val="single" w:color="auto" w:sz="4" w:space="0"/>
              <w:right w:val="single" w:color="auto" w:sz="4" w:space="0"/>
            </w:tcBorders>
            <w:shd w:val="clear" w:color="auto" w:fill="auto"/>
            <w:noWrap/>
            <w:vAlign w:val="center"/>
          </w:tcPr>
          <w:p w14:paraId="269A9F5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156</w:t>
            </w:r>
          </w:p>
        </w:tc>
        <w:tc>
          <w:tcPr>
            <w:tcW w:w="1663" w:type="dxa"/>
            <w:tcBorders>
              <w:top w:val="nil"/>
              <w:left w:val="nil"/>
              <w:bottom w:val="single" w:color="auto" w:sz="4" w:space="0"/>
              <w:right w:val="single" w:color="auto" w:sz="4" w:space="0"/>
            </w:tcBorders>
            <w:shd w:val="clear" w:color="auto" w:fill="auto"/>
            <w:noWrap/>
            <w:vAlign w:val="center"/>
          </w:tcPr>
          <w:p w14:paraId="5135C9A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227A404F">
        <w:tblPrEx>
          <w:tblCellMar>
            <w:top w:w="0" w:type="dxa"/>
            <w:left w:w="108" w:type="dxa"/>
            <w:bottom w:w="0" w:type="dxa"/>
            <w:right w:w="108" w:type="dxa"/>
          </w:tblCellMar>
        </w:tblPrEx>
        <w:trPr>
          <w:trHeight w:val="285"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799EB8F2">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181" w:type="dxa"/>
            <w:tcBorders>
              <w:top w:val="nil"/>
              <w:left w:val="nil"/>
              <w:bottom w:val="single" w:color="auto" w:sz="4" w:space="0"/>
              <w:right w:val="single" w:color="auto" w:sz="4" w:space="0"/>
            </w:tcBorders>
            <w:shd w:val="clear" w:color="auto" w:fill="auto"/>
            <w:vAlign w:val="center"/>
          </w:tcPr>
          <w:p w14:paraId="2A789C8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富源北路站</w:t>
            </w:r>
          </w:p>
        </w:tc>
        <w:tc>
          <w:tcPr>
            <w:tcW w:w="721" w:type="dxa"/>
            <w:tcBorders>
              <w:top w:val="nil"/>
              <w:left w:val="nil"/>
              <w:bottom w:val="single" w:color="auto" w:sz="4" w:space="0"/>
              <w:right w:val="single" w:color="auto" w:sz="4" w:space="0"/>
            </w:tcBorders>
            <w:shd w:val="clear" w:color="auto" w:fill="auto"/>
            <w:noWrap/>
            <w:vAlign w:val="center"/>
          </w:tcPr>
          <w:p w14:paraId="535B66F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1082" w:type="dxa"/>
            <w:tcBorders>
              <w:top w:val="nil"/>
              <w:left w:val="nil"/>
              <w:bottom w:val="single" w:color="auto" w:sz="4" w:space="0"/>
              <w:right w:val="single" w:color="auto" w:sz="4" w:space="0"/>
            </w:tcBorders>
            <w:shd w:val="clear" w:color="auto" w:fill="auto"/>
            <w:noWrap/>
            <w:vAlign w:val="center"/>
          </w:tcPr>
          <w:p w14:paraId="13BF86A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882" w:type="dxa"/>
            <w:tcBorders>
              <w:top w:val="nil"/>
              <w:left w:val="nil"/>
              <w:bottom w:val="single" w:color="auto" w:sz="4" w:space="0"/>
              <w:right w:val="single" w:color="auto" w:sz="4" w:space="0"/>
            </w:tcBorders>
            <w:shd w:val="clear" w:color="auto" w:fill="auto"/>
            <w:noWrap/>
            <w:vAlign w:val="center"/>
          </w:tcPr>
          <w:p w14:paraId="7C0FB3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1" w:type="dxa"/>
            <w:tcBorders>
              <w:top w:val="nil"/>
              <w:left w:val="nil"/>
              <w:bottom w:val="single" w:color="auto" w:sz="4" w:space="0"/>
              <w:right w:val="single" w:color="auto" w:sz="4" w:space="0"/>
            </w:tcBorders>
            <w:shd w:val="clear" w:color="auto" w:fill="auto"/>
            <w:noWrap/>
            <w:vAlign w:val="center"/>
          </w:tcPr>
          <w:p w14:paraId="1984D0B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924" w:type="dxa"/>
            <w:tcBorders>
              <w:top w:val="nil"/>
              <w:left w:val="nil"/>
              <w:bottom w:val="single" w:color="auto" w:sz="4" w:space="0"/>
              <w:right w:val="single" w:color="auto" w:sz="4" w:space="0"/>
            </w:tcBorders>
            <w:shd w:val="clear" w:color="auto" w:fill="auto"/>
            <w:noWrap/>
            <w:vAlign w:val="center"/>
          </w:tcPr>
          <w:p w14:paraId="196DCC0B">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77</w:t>
            </w:r>
          </w:p>
        </w:tc>
        <w:tc>
          <w:tcPr>
            <w:tcW w:w="662" w:type="dxa"/>
            <w:tcBorders>
              <w:top w:val="nil"/>
              <w:left w:val="nil"/>
              <w:bottom w:val="single" w:color="auto" w:sz="4" w:space="0"/>
              <w:right w:val="single" w:color="auto" w:sz="4" w:space="0"/>
            </w:tcBorders>
            <w:shd w:val="clear" w:color="auto" w:fill="auto"/>
            <w:noWrap/>
            <w:vAlign w:val="center"/>
          </w:tcPr>
          <w:p w14:paraId="228A7A7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130</w:t>
            </w:r>
          </w:p>
        </w:tc>
        <w:tc>
          <w:tcPr>
            <w:tcW w:w="1663" w:type="dxa"/>
            <w:tcBorders>
              <w:top w:val="nil"/>
              <w:left w:val="nil"/>
              <w:bottom w:val="single" w:color="auto" w:sz="4" w:space="0"/>
              <w:right w:val="single" w:color="auto" w:sz="4" w:space="0"/>
            </w:tcBorders>
            <w:shd w:val="clear" w:color="auto" w:fill="auto"/>
            <w:noWrap/>
            <w:vAlign w:val="center"/>
          </w:tcPr>
          <w:p w14:paraId="5ADA813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77B66F5B">
        <w:tblPrEx>
          <w:tblCellMar>
            <w:top w:w="0" w:type="dxa"/>
            <w:left w:w="108" w:type="dxa"/>
            <w:bottom w:w="0" w:type="dxa"/>
            <w:right w:w="108" w:type="dxa"/>
          </w:tblCellMar>
        </w:tblPrEx>
        <w:trPr>
          <w:trHeight w:val="279"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245F0D54">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1181" w:type="dxa"/>
            <w:tcBorders>
              <w:top w:val="nil"/>
              <w:left w:val="nil"/>
              <w:bottom w:val="single" w:color="auto" w:sz="4" w:space="0"/>
              <w:right w:val="single" w:color="auto" w:sz="4" w:space="0"/>
            </w:tcBorders>
            <w:shd w:val="clear" w:color="auto" w:fill="auto"/>
            <w:vAlign w:val="center"/>
          </w:tcPr>
          <w:p w14:paraId="3B3D5C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森林公园站</w:t>
            </w:r>
          </w:p>
        </w:tc>
        <w:tc>
          <w:tcPr>
            <w:tcW w:w="721" w:type="dxa"/>
            <w:tcBorders>
              <w:top w:val="nil"/>
              <w:left w:val="nil"/>
              <w:bottom w:val="single" w:color="auto" w:sz="4" w:space="0"/>
              <w:right w:val="single" w:color="auto" w:sz="4" w:space="0"/>
            </w:tcBorders>
            <w:shd w:val="clear" w:color="auto" w:fill="auto"/>
            <w:noWrap/>
            <w:vAlign w:val="center"/>
          </w:tcPr>
          <w:p w14:paraId="6BEBC11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1082" w:type="dxa"/>
            <w:tcBorders>
              <w:top w:val="nil"/>
              <w:left w:val="nil"/>
              <w:bottom w:val="single" w:color="auto" w:sz="4" w:space="0"/>
              <w:right w:val="single" w:color="auto" w:sz="4" w:space="0"/>
            </w:tcBorders>
            <w:shd w:val="clear" w:color="auto" w:fill="auto"/>
            <w:noWrap/>
            <w:vAlign w:val="center"/>
          </w:tcPr>
          <w:p w14:paraId="2DFDFB1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882" w:type="dxa"/>
            <w:tcBorders>
              <w:top w:val="nil"/>
              <w:left w:val="nil"/>
              <w:bottom w:val="single" w:color="auto" w:sz="4" w:space="0"/>
              <w:right w:val="single" w:color="auto" w:sz="4" w:space="0"/>
            </w:tcBorders>
            <w:shd w:val="clear" w:color="auto" w:fill="auto"/>
            <w:noWrap/>
            <w:vAlign w:val="center"/>
          </w:tcPr>
          <w:p w14:paraId="0FB9286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1" w:type="dxa"/>
            <w:tcBorders>
              <w:top w:val="nil"/>
              <w:left w:val="nil"/>
              <w:bottom w:val="single" w:color="auto" w:sz="4" w:space="0"/>
              <w:right w:val="single" w:color="auto" w:sz="4" w:space="0"/>
            </w:tcBorders>
            <w:shd w:val="clear" w:color="auto" w:fill="auto"/>
            <w:noWrap/>
            <w:vAlign w:val="center"/>
          </w:tcPr>
          <w:p w14:paraId="48E5C85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924" w:type="dxa"/>
            <w:tcBorders>
              <w:top w:val="nil"/>
              <w:left w:val="nil"/>
              <w:bottom w:val="single" w:color="auto" w:sz="4" w:space="0"/>
              <w:right w:val="single" w:color="auto" w:sz="4" w:space="0"/>
            </w:tcBorders>
            <w:shd w:val="clear" w:color="auto" w:fill="auto"/>
            <w:noWrap/>
            <w:vAlign w:val="center"/>
          </w:tcPr>
          <w:p w14:paraId="36B54CA4">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74</w:t>
            </w:r>
          </w:p>
        </w:tc>
        <w:tc>
          <w:tcPr>
            <w:tcW w:w="662" w:type="dxa"/>
            <w:tcBorders>
              <w:top w:val="nil"/>
              <w:left w:val="nil"/>
              <w:bottom w:val="single" w:color="auto" w:sz="4" w:space="0"/>
              <w:right w:val="single" w:color="auto" w:sz="4" w:space="0"/>
            </w:tcBorders>
            <w:shd w:val="clear" w:color="auto" w:fill="auto"/>
            <w:noWrap/>
            <w:vAlign w:val="center"/>
          </w:tcPr>
          <w:p w14:paraId="5AFCF4D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68</w:t>
            </w:r>
          </w:p>
        </w:tc>
        <w:tc>
          <w:tcPr>
            <w:tcW w:w="1663" w:type="dxa"/>
            <w:tcBorders>
              <w:top w:val="nil"/>
              <w:left w:val="nil"/>
              <w:bottom w:val="single" w:color="auto" w:sz="4" w:space="0"/>
              <w:right w:val="single" w:color="auto" w:sz="4" w:space="0"/>
            </w:tcBorders>
            <w:shd w:val="clear" w:color="auto" w:fill="auto"/>
            <w:noWrap/>
            <w:vAlign w:val="center"/>
          </w:tcPr>
          <w:p w14:paraId="4D59331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5EA03960">
        <w:tblPrEx>
          <w:tblCellMar>
            <w:top w:w="0" w:type="dxa"/>
            <w:left w:w="108" w:type="dxa"/>
            <w:bottom w:w="0" w:type="dxa"/>
            <w:right w:w="108" w:type="dxa"/>
          </w:tblCellMar>
        </w:tblPrEx>
        <w:trPr>
          <w:trHeight w:val="285"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79F3646B">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1181" w:type="dxa"/>
            <w:tcBorders>
              <w:top w:val="nil"/>
              <w:left w:val="nil"/>
              <w:bottom w:val="single" w:color="auto" w:sz="4" w:space="0"/>
              <w:right w:val="single" w:color="auto" w:sz="4" w:space="0"/>
            </w:tcBorders>
            <w:shd w:val="clear" w:color="auto" w:fill="auto"/>
            <w:vAlign w:val="center"/>
          </w:tcPr>
          <w:p w14:paraId="3F5EC3C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龙洞堡站</w:t>
            </w:r>
          </w:p>
        </w:tc>
        <w:tc>
          <w:tcPr>
            <w:tcW w:w="721" w:type="dxa"/>
            <w:tcBorders>
              <w:top w:val="nil"/>
              <w:left w:val="nil"/>
              <w:bottom w:val="single" w:color="auto" w:sz="4" w:space="0"/>
              <w:right w:val="single" w:color="auto" w:sz="4" w:space="0"/>
            </w:tcBorders>
            <w:shd w:val="clear" w:color="auto" w:fill="auto"/>
            <w:noWrap/>
            <w:vAlign w:val="center"/>
          </w:tcPr>
          <w:p w14:paraId="0C369B0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1082" w:type="dxa"/>
            <w:tcBorders>
              <w:top w:val="nil"/>
              <w:left w:val="nil"/>
              <w:bottom w:val="single" w:color="auto" w:sz="4" w:space="0"/>
              <w:right w:val="single" w:color="auto" w:sz="4" w:space="0"/>
            </w:tcBorders>
            <w:shd w:val="clear" w:color="auto" w:fill="auto"/>
            <w:noWrap/>
            <w:vAlign w:val="center"/>
          </w:tcPr>
          <w:p w14:paraId="68C374B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882" w:type="dxa"/>
            <w:tcBorders>
              <w:top w:val="nil"/>
              <w:left w:val="nil"/>
              <w:bottom w:val="single" w:color="auto" w:sz="4" w:space="0"/>
              <w:right w:val="single" w:color="auto" w:sz="4" w:space="0"/>
            </w:tcBorders>
            <w:shd w:val="clear" w:color="auto" w:fill="auto"/>
            <w:noWrap/>
            <w:vAlign w:val="center"/>
          </w:tcPr>
          <w:p w14:paraId="541DD00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1" w:type="dxa"/>
            <w:tcBorders>
              <w:top w:val="nil"/>
              <w:left w:val="nil"/>
              <w:bottom w:val="single" w:color="auto" w:sz="4" w:space="0"/>
              <w:right w:val="single" w:color="auto" w:sz="4" w:space="0"/>
            </w:tcBorders>
            <w:shd w:val="clear" w:color="auto" w:fill="auto"/>
            <w:noWrap/>
            <w:vAlign w:val="center"/>
          </w:tcPr>
          <w:p w14:paraId="7C7F5AD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924" w:type="dxa"/>
            <w:tcBorders>
              <w:top w:val="nil"/>
              <w:left w:val="nil"/>
              <w:bottom w:val="single" w:color="auto" w:sz="4" w:space="0"/>
              <w:right w:val="single" w:color="auto" w:sz="4" w:space="0"/>
            </w:tcBorders>
            <w:shd w:val="clear" w:color="auto" w:fill="auto"/>
            <w:noWrap/>
            <w:vAlign w:val="center"/>
          </w:tcPr>
          <w:p w14:paraId="59371FB5">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79</w:t>
            </w:r>
          </w:p>
        </w:tc>
        <w:tc>
          <w:tcPr>
            <w:tcW w:w="662" w:type="dxa"/>
            <w:tcBorders>
              <w:top w:val="nil"/>
              <w:left w:val="nil"/>
              <w:bottom w:val="single" w:color="auto" w:sz="4" w:space="0"/>
              <w:right w:val="single" w:color="auto" w:sz="4" w:space="0"/>
            </w:tcBorders>
            <w:shd w:val="clear" w:color="auto" w:fill="auto"/>
            <w:noWrap/>
            <w:vAlign w:val="center"/>
          </w:tcPr>
          <w:p w14:paraId="7124822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106</w:t>
            </w:r>
          </w:p>
        </w:tc>
        <w:tc>
          <w:tcPr>
            <w:tcW w:w="1663" w:type="dxa"/>
            <w:tcBorders>
              <w:top w:val="nil"/>
              <w:left w:val="nil"/>
              <w:bottom w:val="single" w:color="auto" w:sz="4" w:space="0"/>
              <w:right w:val="single" w:color="auto" w:sz="4" w:space="0"/>
            </w:tcBorders>
            <w:shd w:val="clear" w:color="auto" w:fill="auto"/>
            <w:noWrap/>
            <w:vAlign w:val="center"/>
          </w:tcPr>
          <w:p w14:paraId="79A7978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72B437F8">
        <w:tblPrEx>
          <w:tblCellMar>
            <w:top w:w="0" w:type="dxa"/>
            <w:left w:w="108" w:type="dxa"/>
            <w:bottom w:w="0" w:type="dxa"/>
            <w:right w:w="108" w:type="dxa"/>
          </w:tblCellMar>
        </w:tblPrEx>
        <w:trPr>
          <w:trHeight w:val="285"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42B109A3">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1181" w:type="dxa"/>
            <w:tcBorders>
              <w:top w:val="nil"/>
              <w:left w:val="nil"/>
              <w:bottom w:val="single" w:color="auto" w:sz="4" w:space="0"/>
              <w:right w:val="single" w:color="auto" w:sz="4" w:space="0"/>
            </w:tcBorders>
            <w:shd w:val="clear" w:color="auto" w:fill="auto"/>
            <w:vAlign w:val="center"/>
          </w:tcPr>
          <w:p w14:paraId="507A0BF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机场站</w:t>
            </w:r>
          </w:p>
        </w:tc>
        <w:tc>
          <w:tcPr>
            <w:tcW w:w="721" w:type="dxa"/>
            <w:tcBorders>
              <w:top w:val="nil"/>
              <w:left w:val="nil"/>
              <w:bottom w:val="single" w:color="auto" w:sz="4" w:space="0"/>
              <w:right w:val="single" w:color="auto" w:sz="4" w:space="0"/>
            </w:tcBorders>
            <w:shd w:val="clear" w:color="auto" w:fill="auto"/>
            <w:noWrap/>
            <w:vAlign w:val="center"/>
          </w:tcPr>
          <w:p w14:paraId="3238E22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82" w:type="dxa"/>
            <w:tcBorders>
              <w:top w:val="nil"/>
              <w:left w:val="nil"/>
              <w:bottom w:val="single" w:color="auto" w:sz="4" w:space="0"/>
              <w:right w:val="single" w:color="auto" w:sz="4" w:space="0"/>
            </w:tcBorders>
            <w:shd w:val="clear" w:color="auto" w:fill="auto"/>
            <w:noWrap/>
            <w:vAlign w:val="center"/>
          </w:tcPr>
          <w:p w14:paraId="58EF9D3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2" w:type="dxa"/>
            <w:tcBorders>
              <w:top w:val="nil"/>
              <w:left w:val="nil"/>
              <w:bottom w:val="single" w:color="auto" w:sz="4" w:space="0"/>
              <w:right w:val="single" w:color="auto" w:sz="4" w:space="0"/>
            </w:tcBorders>
            <w:shd w:val="clear" w:color="auto" w:fill="auto"/>
            <w:noWrap/>
            <w:vAlign w:val="center"/>
          </w:tcPr>
          <w:p w14:paraId="419334C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81" w:type="dxa"/>
            <w:tcBorders>
              <w:top w:val="nil"/>
              <w:left w:val="nil"/>
              <w:bottom w:val="single" w:color="auto" w:sz="4" w:space="0"/>
              <w:right w:val="single" w:color="auto" w:sz="4" w:space="0"/>
            </w:tcBorders>
            <w:shd w:val="clear" w:color="auto" w:fill="auto"/>
            <w:noWrap/>
            <w:vAlign w:val="center"/>
          </w:tcPr>
          <w:p w14:paraId="3FA5C33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42</w:t>
            </w:r>
          </w:p>
        </w:tc>
        <w:tc>
          <w:tcPr>
            <w:tcW w:w="924" w:type="dxa"/>
            <w:tcBorders>
              <w:top w:val="nil"/>
              <w:left w:val="nil"/>
              <w:bottom w:val="single" w:color="auto" w:sz="4" w:space="0"/>
              <w:right w:val="single" w:color="auto" w:sz="4" w:space="0"/>
            </w:tcBorders>
            <w:shd w:val="clear" w:color="auto" w:fill="auto"/>
            <w:noWrap/>
            <w:vAlign w:val="center"/>
          </w:tcPr>
          <w:p w14:paraId="6300887D">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56</w:t>
            </w:r>
          </w:p>
        </w:tc>
        <w:tc>
          <w:tcPr>
            <w:tcW w:w="662" w:type="dxa"/>
            <w:tcBorders>
              <w:top w:val="nil"/>
              <w:left w:val="nil"/>
              <w:bottom w:val="single" w:color="auto" w:sz="4" w:space="0"/>
              <w:right w:val="single" w:color="auto" w:sz="4" w:space="0"/>
            </w:tcBorders>
            <w:shd w:val="clear" w:color="auto" w:fill="auto"/>
            <w:noWrap/>
            <w:vAlign w:val="center"/>
          </w:tcPr>
          <w:p w14:paraId="20C0018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53</w:t>
            </w:r>
          </w:p>
        </w:tc>
        <w:tc>
          <w:tcPr>
            <w:tcW w:w="1663" w:type="dxa"/>
            <w:tcBorders>
              <w:top w:val="nil"/>
              <w:left w:val="nil"/>
              <w:bottom w:val="single" w:color="auto" w:sz="4" w:space="0"/>
              <w:right w:val="single" w:color="auto" w:sz="4" w:space="0"/>
            </w:tcBorders>
            <w:shd w:val="clear" w:color="auto" w:fill="auto"/>
            <w:noWrap/>
            <w:vAlign w:val="center"/>
          </w:tcPr>
          <w:p w14:paraId="18B95B5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2996505E">
        <w:tblPrEx>
          <w:tblCellMar>
            <w:top w:w="0" w:type="dxa"/>
            <w:left w:w="108" w:type="dxa"/>
            <w:bottom w:w="0" w:type="dxa"/>
            <w:right w:w="108" w:type="dxa"/>
          </w:tblCellMar>
        </w:tblPrEx>
        <w:trPr>
          <w:trHeight w:val="285"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3FE73E57">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181" w:type="dxa"/>
            <w:tcBorders>
              <w:top w:val="nil"/>
              <w:left w:val="nil"/>
              <w:bottom w:val="single" w:color="auto" w:sz="4" w:space="0"/>
              <w:right w:val="single" w:color="auto" w:sz="4" w:space="0"/>
            </w:tcBorders>
            <w:shd w:val="clear" w:color="auto" w:fill="auto"/>
            <w:vAlign w:val="center"/>
          </w:tcPr>
          <w:p w14:paraId="10DD4B4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小碧站</w:t>
            </w:r>
          </w:p>
        </w:tc>
        <w:tc>
          <w:tcPr>
            <w:tcW w:w="721" w:type="dxa"/>
            <w:tcBorders>
              <w:top w:val="nil"/>
              <w:left w:val="nil"/>
              <w:bottom w:val="single" w:color="auto" w:sz="4" w:space="0"/>
              <w:right w:val="single" w:color="auto" w:sz="4" w:space="0"/>
            </w:tcBorders>
            <w:shd w:val="clear" w:color="auto" w:fill="auto"/>
            <w:noWrap/>
            <w:vAlign w:val="center"/>
          </w:tcPr>
          <w:p w14:paraId="6A3F49F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1082" w:type="dxa"/>
            <w:tcBorders>
              <w:top w:val="nil"/>
              <w:left w:val="nil"/>
              <w:bottom w:val="single" w:color="auto" w:sz="4" w:space="0"/>
              <w:right w:val="single" w:color="auto" w:sz="4" w:space="0"/>
            </w:tcBorders>
            <w:shd w:val="clear" w:color="auto" w:fill="auto"/>
            <w:noWrap/>
            <w:vAlign w:val="center"/>
          </w:tcPr>
          <w:p w14:paraId="1513A20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882" w:type="dxa"/>
            <w:tcBorders>
              <w:top w:val="nil"/>
              <w:left w:val="nil"/>
              <w:bottom w:val="single" w:color="auto" w:sz="4" w:space="0"/>
              <w:right w:val="single" w:color="auto" w:sz="4" w:space="0"/>
            </w:tcBorders>
            <w:shd w:val="clear" w:color="auto" w:fill="auto"/>
            <w:noWrap/>
            <w:vAlign w:val="center"/>
          </w:tcPr>
          <w:p w14:paraId="0B67BA1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1" w:type="dxa"/>
            <w:tcBorders>
              <w:top w:val="nil"/>
              <w:left w:val="nil"/>
              <w:bottom w:val="single" w:color="auto" w:sz="4" w:space="0"/>
              <w:right w:val="single" w:color="auto" w:sz="4" w:space="0"/>
            </w:tcBorders>
            <w:shd w:val="clear" w:color="auto" w:fill="auto"/>
            <w:noWrap/>
            <w:vAlign w:val="center"/>
          </w:tcPr>
          <w:p w14:paraId="74AC5CF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924" w:type="dxa"/>
            <w:tcBorders>
              <w:top w:val="nil"/>
              <w:left w:val="nil"/>
              <w:bottom w:val="single" w:color="auto" w:sz="4" w:space="0"/>
              <w:right w:val="single" w:color="auto" w:sz="4" w:space="0"/>
            </w:tcBorders>
            <w:shd w:val="clear" w:color="auto" w:fill="auto"/>
            <w:noWrap/>
            <w:vAlign w:val="center"/>
          </w:tcPr>
          <w:p w14:paraId="2929B80C">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77</w:t>
            </w:r>
          </w:p>
        </w:tc>
        <w:tc>
          <w:tcPr>
            <w:tcW w:w="662" w:type="dxa"/>
            <w:tcBorders>
              <w:top w:val="nil"/>
              <w:left w:val="nil"/>
              <w:bottom w:val="single" w:color="auto" w:sz="4" w:space="0"/>
              <w:right w:val="single" w:color="auto" w:sz="4" w:space="0"/>
            </w:tcBorders>
            <w:shd w:val="clear" w:color="auto" w:fill="auto"/>
            <w:noWrap/>
            <w:vAlign w:val="center"/>
          </w:tcPr>
          <w:p w14:paraId="2F505A4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57</w:t>
            </w:r>
          </w:p>
        </w:tc>
        <w:tc>
          <w:tcPr>
            <w:tcW w:w="1663" w:type="dxa"/>
            <w:tcBorders>
              <w:top w:val="nil"/>
              <w:left w:val="nil"/>
              <w:bottom w:val="single" w:color="auto" w:sz="4" w:space="0"/>
              <w:right w:val="single" w:color="auto" w:sz="4" w:space="0"/>
            </w:tcBorders>
            <w:shd w:val="clear" w:color="auto" w:fill="auto"/>
            <w:noWrap/>
            <w:vAlign w:val="center"/>
          </w:tcPr>
          <w:p w14:paraId="406BF69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0E441899">
        <w:tblPrEx>
          <w:tblCellMar>
            <w:top w:w="0" w:type="dxa"/>
            <w:left w:w="108" w:type="dxa"/>
            <w:bottom w:w="0" w:type="dxa"/>
            <w:right w:w="108" w:type="dxa"/>
          </w:tblCellMar>
        </w:tblPrEx>
        <w:trPr>
          <w:trHeight w:val="285"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4A907A20">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7</w:t>
            </w:r>
          </w:p>
        </w:tc>
        <w:tc>
          <w:tcPr>
            <w:tcW w:w="1181" w:type="dxa"/>
            <w:tcBorders>
              <w:top w:val="nil"/>
              <w:left w:val="nil"/>
              <w:bottom w:val="single" w:color="auto" w:sz="4" w:space="0"/>
              <w:right w:val="single" w:color="auto" w:sz="4" w:space="0"/>
            </w:tcBorders>
            <w:shd w:val="clear" w:color="auto" w:fill="auto"/>
            <w:vAlign w:val="center"/>
          </w:tcPr>
          <w:p w14:paraId="281AEC5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云盘村站</w:t>
            </w:r>
          </w:p>
        </w:tc>
        <w:tc>
          <w:tcPr>
            <w:tcW w:w="721" w:type="dxa"/>
            <w:tcBorders>
              <w:top w:val="nil"/>
              <w:left w:val="nil"/>
              <w:bottom w:val="single" w:color="auto" w:sz="4" w:space="0"/>
              <w:right w:val="single" w:color="auto" w:sz="4" w:space="0"/>
            </w:tcBorders>
            <w:shd w:val="clear" w:color="auto" w:fill="auto"/>
            <w:noWrap/>
            <w:vAlign w:val="center"/>
          </w:tcPr>
          <w:p w14:paraId="468F083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082" w:type="dxa"/>
            <w:tcBorders>
              <w:top w:val="nil"/>
              <w:left w:val="nil"/>
              <w:bottom w:val="single" w:color="auto" w:sz="4" w:space="0"/>
              <w:right w:val="single" w:color="auto" w:sz="4" w:space="0"/>
            </w:tcBorders>
            <w:shd w:val="clear" w:color="auto" w:fill="auto"/>
            <w:noWrap/>
            <w:vAlign w:val="center"/>
          </w:tcPr>
          <w:p w14:paraId="64A5DAF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82" w:type="dxa"/>
            <w:tcBorders>
              <w:top w:val="nil"/>
              <w:left w:val="nil"/>
              <w:bottom w:val="single" w:color="auto" w:sz="4" w:space="0"/>
              <w:right w:val="single" w:color="auto" w:sz="4" w:space="0"/>
            </w:tcBorders>
            <w:shd w:val="clear" w:color="auto" w:fill="auto"/>
            <w:noWrap/>
            <w:vAlign w:val="center"/>
          </w:tcPr>
          <w:p w14:paraId="1C2DD16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1" w:type="dxa"/>
            <w:tcBorders>
              <w:top w:val="nil"/>
              <w:left w:val="nil"/>
              <w:bottom w:val="single" w:color="auto" w:sz="4" w:space="0"/>
              <w:right w:val="single" w:color="auto" w:sz="4" w:space="0"/>
            </w:tcBorders>
            <w:shd w:val="clear" w:color="auto" w:fill="auto"/>
            <w:noWrap/>
            <w:vAlign w:val="center"/>
          </w:tcPr>
          <w:p w14:paraId="6CA4E59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924" w:type="dxa"/>
            <w:tcBorders>
              <w:top w:val="nil"/>
              <w:left w:val="nil"/>
              <w:bottom w:val="single" w:color="auto" w:sz="4" w:space="0"/>
              <w:right w:val="single" w:color="auto" w:sz="4" w:space="0"/>
            </w:tcBorders>
            <w:shd w:val="clear" w:color="auto" w:fill="auto"/>
            <w:noWrap/>
            <w:vAlign w:val="center"/>
          </w:tcPr>
          <w:p w14:paraId="38FFF5CE">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39</w:t>
            </w:r>
          </w:p>
        </w:tc>
        <w:tc>
          <w:tcPr>
            <w:tcW w:w="662" w:type="dxa"/>
            <w:tcBorders>
              <w:top w:val="nil"/>
              <w:left w:val="nil"/>
              <w:bottom w:val="single" w:color="auto" w:sz="4" w:space="0"/>
              <w:right w:val="single" w:color="auto" w:sz="4" w:space="0"/>
            </w:tcBorders>
            <w:shd w:val="clear" w:color="auto" w:fill="auto"/>
            <w:noWrap/>
            <w:vAlign w:val="center"/>
          </w:tcPr>
          <w:p w14:paraId="31F91A1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663" w:type="dxa"/>
            <w:tcBorders>
              <w:top w:val="nil"/>
              <w:left w:val="nil"/>
              <w:bottom w:val="single" w:color="auto" w:sz="4" w:space="0"/>
              <w:right w:val="single" w:color="auto" w:sz="4" w:space="0"/>
            </w:tcBorders>
            <w:shd w:val="clear" w:color="auto" w:fill="auto"/>
            <w:noWrap/>
            <w:vAlign w:val="center"/>
          </w:tcPr>
          <w:p w14:paraId="46D28EB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799F7CBE">
        <w:tblPrEx>
          <w:tblCellMar>
            <w:top w:w="0" w:type="dxa"/>
            <w:left w:w="108" w:type="dxa"/>
            <w:bottom w:w="0" w:type="dxa"/>
            <w:right w:w="108" w:type="dxa"/>
          </w:tblCellMar>
        </w:tblPrEx>
        <w:trPr>
          <w:trHeight w:val="285"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2278A461">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181" w:type="dxa"/>
            <w:tcBorders>
              <w:top w:val="nil"/>
              <w:left w:val="nil"/>
              <w:bottom w:val="single" w:color="auto" w:sz="4" w:space="0"/>
              <w:right w:val="single" w:color="auto" w:sz="4" w:space="0"/>
            </w:tcBorders>
            <w:shd w:val="clear" w:color="auto" w:fill="auto"/>
            <w:vAlign w:val="center"/>
          </w:tcPr>
          <w:p w14:paraId="3717C41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水淹坝站</w:t>
            </w:r>
          </w:p>
        </w:tc>
        <w:tc>
          <w:tcPr>
            <w:tcW w:w="721" w:type="dxa"/>
            <w:tcBorders>
              <w:top w:val="nil"/>
              <w:left w:val="nil"/>
              <w:bottom w:val="single" w:color="auto" w:sz="4" w:space="0"/>
              <w:right w:val="single" w:color="auto" w:sz="4" w:space="0"/>
            </w:tcBorders>
            <w:shd w:val="clear" w:color="auto" w:fill="auto"/>
            <w:noWrap/>
            <w:vAlign w:val="center"/>
          </w:tcPr>
          <w:p w14:paraId="01EE9E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1082" w:type="dxa"/>
            <w:tcBorders>
              <w:top w:val="nil"/>
              <w:left w:val="nil"/>
              <w:bottom w:val="single" w:color="auto" w:sz="4" w:space="0"/>
              <w:right w:val="single" w:color="auto" w:sz="4" w:space="0"/>
            </w:tcBorders>
            <w:shd w:val="clear" w:color="auto" w:fill="auto"/>
            <w:noWrap/>
            <w:vAlign w:val="center"/>
          </w:tcPr>
          <w:p w14:paraId="7526978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82" w:type="dxa"/>
            <w:tcBorders>
              <w:top w:val="nil"/>
              <w:left w:val="nil"/>
              <w:bottom w:val="single" w:color="auto" w:sz="4" w:space="0"/>
              <w:right w:val="single" w:color="auto" w:sz="4" w:space="0"/>
            </w:tcBorders>
            <w:shd w:val="clear" w:color="auto" w:fill="auto"/>
            <w:noWrap/>
            <w:vAlign w:val="center"/>
          </w:tcPr>
          <w:p w14:paraId="28E1F68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1" w:type="dxa"/>
            <w:tcBorders>
              <w:top w:val="nil"/>
              <w:left w:val="nil"/>
              <w:bottom w:val="single" w:color="auto" w:sz="4" w:space="0"/>
              <w:right w:val="single" w:color="auto" w:sz="4" w:space="0"/>
            </w:tcBorders>
            <w:shd w:val="clear" w:color="auto" w:fill="auto"/>
            <w:noWrap/>
            <w:vAlign w:val="center"/>
          </w:tcPr>
          <w:p w14:paraId="15C2055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924" w:type="dxa"/>
            <w:tcBorders>
              <w:top w:val="nil"/>
              <w:left w:val="nil"/>
              <w:bottom w:val="single" w:color="auto" w:sz="4" w:space="0"/>
              <w:right w:val="single" w:color="auto" w:sz="4" w:space="0"/>
            </w:tcBorders>
            <w:shd w:val="clear" w:color="auto" w:fill="auto"/>
            <w:noWrap/>
            <w:vAlign w:val="center"/>
          </w:tcPr>
          <w:p w14:paraId="0119AD24">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53</w:t>
            </w:r>
          </w:p>
        </w:tc>
        <w:tc>
          <w:tcPr>
            <w:tcW w:w="662" w:type="dxa"/>
            <w:tcBorders>
              <w:top w:val="nil"/>
              <w:left w:val="nil"/>
              <w:bottom w:val="single" w:color="auto" w:sz="4" w:space="0"/>
              <w:right w:val="single" w:color="auto" w:sz="4" w:space="0"/>
            </w:tcBorders>
            <w:shd w:val="clear" w:color="auto" w:fill="auto"/>
            <w:noWrap/>
            <w:vAlign w:val="center"/>
          </w:tcPr>
          <w:p w14:paraId="2ED16BF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663" w:type="dxa"/>
            <w:tcBorders>
              <w:top w:val="nil"/>
              <w:left w:val="nil"/>
              <w:bottom w:val="single" w:color="auto" w:sz="4" w:space="0"/>
              <w:right w:val="single" w:color="auto" w:sz="4" w:space="0"/>
            </w:tcBorders>
            <w:shd w:val="clear" w:color="auto" w:fill="auto"/>
            <w:noWrap/>
            <w:vAlign w:val="center"/>
          </w:tcPr>
          <w:p w14:paraId="67BEE80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347125B1">
        <w:tblPrEx>
          <w:tblCellMar>
            <w:top w:w="0" w:type="dxa"/>
            <w:left w:w="108" w:type="dxa"/>
            <w:bottom w:w="0" w:type="dxa"/>
            <w:right w:w="108" w:type="dxa"/>
          </w:tblCellMar>
        </w:tblPrEx>
        <w:trPr>
          <w:trHeight w:val="285"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7B8672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1181" w:type="dxa"/>
            <w:tcBorders>
              <w:top w:val="nil"/>
              <w:left w:val="nil"/>
              <w:bottom w:val="single" w:color="auto" w:sz="4" w:space="0"/>
              <w:right w:val="single" w:color="auto" w:sz="4" w:space="0"/>
            </w:tcBorders>
            <w:shd w:val="clear" w:color="auto" w:fill="auto"/>
            <w:vAlign w:val="center"/>
          </w:tcPr>
          <w:p w14:paraId="07EE9E9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21" w:type="dxa"/>
            <w:tcBorders>
              <w:top w:val="nil"/>
              <w:left w:val="nil"/>
              <w:bottom w:val="single" w:color="auto" w:sz="4" w:space="0"/>
              <w:right w:val="single" w:color="auto" w:sz="4" w:space="0"/>
            </w:tcBorders>
            <w:shd w:val="clear" w:color="auto" w:fill="auto"/>
            <w:noWrap/>
            <w:vAlign w:val="center"/>
          </w:tcPr>
          <w:p w14:paraId="2B1C1592">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119</w:t>
            </w:r>
          </w:p>
        </w:tc>
        <w:tc>
          <w:tcPr>
            <w:tcW w:w="1082" w:type="dxa"/>
            <w:tcBorders>
              <w:top w:val="nil"/>
              <w:left w:val="nil"/>
              <w:bottom w:val="single" w:color="auto" w:sz="4" w:space="0"/>
              <w:right w:val="single" w:color="auto" w:sz="4" w:space="0"/>
            </w:tcBorders>
            <w:shd w:val="clear" w:color="auto" w:fill="auto"/>
            <w:noWrap/>
            <w:vAlign w:val="center"/>
          </w:tcPr>
          <w:p w14:paraId="41A4E3AA">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91</w:t>
            </w:r>
          </w:p>
        </w:tc>
        <w:tc>
          <w:tcPr>
            <w:tcW w:w="882" w:type="dxa"/>
            <w:tcBorders>
              <w:top w:val="nil"/>
              <w:left w:val="nil"/>
              <w:bottom w:val="single" w:color="auto" w:sz="4" w:space="0"/>
              <w:right w:val="single" w:color="auto" w:sz="4" w:space="0"/>
            </w:tcBorders>
            <w:shd w:val="clear" w:color="auto" w:fill="auto"/>
            <w:noWrap/>
            <w:vAlign w:val="center"/>
          </w:tcPr>
          <w:p w14:paraId="7222E78D">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17</w:t>
            </w:r>
          </w:p>
        </w:tc>
        <w:tc>
          <w:tcPr>
            <w:tcW w:w="781" w:type="dxa"/>
            <w:tcBorders>
              <w:top w:val="nil"/>
              <w:left w:val="nil"/>
              <w:bottom w:val="single" w:color="auto" w:sz="4" w:space="0"/>
              <w:right w:val="single" w:color="auto" w:sz="4" w:space="0"/>
            </w:tcBorders>
            <w:shd w:val="clear" w:color="auto" w:fill="auto"/>
            <w:noWrap/>
            <w:vAlign w:val="center"/>
          </w:tcPr>
          <w:p w14:paraId="0CACDA91">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304</w:t>
            </w:r>
          </w:p>
        </w:tc>
        <w:tc>
          <w:tcPr>
            <w:tcW w:w="924" w:type="dxa"/>
            <w:tcBorders>
              <w:top w:val="nil"/>
              <w:left w:val="nil"/>
              <w:bottom w:val="single" w:color="auto" w:sz="4" w:space="0"/>
              <w:right w:val="single" w:color="auto" w:sz="4" w:space="0"/>
            </w:tcBorders>
            <w:shd w:val="clear" w:color="auto" w:fill="auto"/>
            <w:noWrap/>
            <w:vAlign w:val="center"/>
          </w:tcPr>
          <w:p w14:paraId="5D701A6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662" w:type="dxa"/>
            <w:tcBorders>
              <w:top w:val="nil"/>
              <w:left w:val="nil"/>
              <w:bottom w:val="single" w:color="auto" w:sz="4" w:space="0"/>
              <w:right w:val="single" w:color="auto" w:sz="4" w:space="0"/>
            </w:tcBorders>
            <w:shd w:val="clear" w:color="auto" w:fill="auto"/>
            <w:noWrap/>
            <w:vAlign w:val="center"/>
          </w:tcPr>
          <w:p w14:paraId="7458109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570</w:t>
            </w:r>
          </w:p>
        </w:tc>
        <w:tc>
          <w:tcPr>
            <w:tcW w:w="1663" w:type="dxa"/>
            <w:tcBorders>
              <w:top w:val="nil"/>
              <w:left w:val="nil"/>
              <w:bottom w:val="single" w:color="auto" w:sz="4" w:space="0"/>
              <w:right w:val="single" w:color="auto" w:sz="4" w:space="0"/>
            </w:tcBorders>
            <w:shd w:val="clear" w:color="auto" w:fill="auto"/>
            <w:noWrap/>
            <w:vAlign w:val="center"/>
          </w:tcPr>
          <w:p w14:paraId="5671597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3C5F2714">
        <w:tblPrEx>
          <w:tblCellMar>
            <w:top w:w="0" w:type="dxa"/>
            <w:left w:w="108" w:type="dxa"/>
            <w:bottom w:w="0" w:type="dxa"/>
            <w:right w:w="108" w:type="dxa"/>
          </w:tblCellMar>
        </w:tblPrEx>
        <w:trPr>
          <w:trHeight w:val="450"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7E3A6C6A">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二期合计</w:t>
            </w:r>
          </w:p>
        </w:tc>
        <w:tc>
          <w:tcPr>
            <w:tcW w:w="1181" w:type="dxa"/>
            <w:tcBorders>
              <w:top w:val="nil"/>
              <w:left w:val="nil"/>
              <w:bottom w:val="single" w:color="auto" w:sz="4" w:space="0"/>
              <w:right w:val="single" w:color="auto" w:sz="4" w:space="0"/>
            </w:tcBorders>
            <w:shd w:val="clear" w:color="auto" w:fill="auto"/>
            <w:vAlign w:val="center"/>
          </w:tcPr>
          <w:p w14:paraId="5AEC931F">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c>
          <w:tcPr>
            <w:tcW w:w="3466" w:type="dxa"/>
            <w:gridSpan w:val="4"/>
            <w:tcBorders>
              <w:top w:val="single" w:color="auto" w:sz="4" w:space="0"/>
              <w:left w:val="nil"/>
              <w:bottom w:val="single" w:color="auto" w:sz="4" w:space="0"/>
              <w:right w:val="single" w:color="000000" w:sz="4" w:space="0"/>
            </w:tcBorders>
            <w:shd w:val="clear" w:color="auto" w:fill="auto"/>
            <w:noWrap/>
            <w:vAlign w:val="center"/>
          </w:tcPr>
          <w:p w14:paraId="5B0BD6FA">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531</w:t>
            </w:r>
          </w:p>
        </w:tc>
        <w:tc>
          <w:tcPr>
            <w:tcW w:w="924" w:type="dxa"/>
            <w:tcBorders>
              <w:top w:val="nil"/>
              <w:left w:val="nil"/>
              <w:bottom w:val="single" w:color="auto" w:sz="4" w:space="0"/>
              <w:right w:val="single" w:color="auto" w:sz="4" w:space="0"/>
            </w:tcBorders>
            <w:shd w:val="clear" w:color="auto" w:fill="auto"/>
            <w:noWrap/>
            <w:vAlign w:val="center"/>
          </w:tcPr>
          <w:p w14:paraId="31624548">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c>
          <w:tcPr>
            <w:tcW w:w="662" w:type="dxa"/>
            <w:tcBorders>
              <w:top w:val="nil"/>
              <w:left w:val="nil"/>
              <w:bottom w:val="single" w:color="auto" w:sz="4" w:space="0"/>
              <w:right w:val="single" w:color="auto" w:sz="4" w:space="0"/>
            </w:tcBorders>
            <w:shd w:val="clear" w:color="auto" w:fill="auto"/>
            <w:noWrap/>
            <w:vAlign w:val="center"/>
          </w:tcPr>
          <w:p w14:paraId="303FDE3D">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570</w:t>
            </w:r>
          </w:p>
        </w:tc>
        <w:tc>
          <w:tcPr>
            <w:tcW w:w="1663" w:type="dxa"/>
            <w:tcBorders>
              <w:top w:val="nil"/>
              <w:left w:val="nil"/>
              <w:bottom w:val="single" w:color="auto" w:sz="4" w:space="0"/>
              <w:right w:val="single" w:color="auto" w:sz="4" w:space="0"/>
            </w:tcBorders>
            <w:shd w:val="clear" w:color="auto" w:fill="auto"/>
            <w:noWrap/>
            <w:vAlign w:val="center"/>
          </w:tcPr>
          <w:p w14:paraId="4D2B684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7D9F1578">
        <w:tblPrEx>
          <w:tblCellMar>
            <w:top w:w="0" w:type="dxa"/>
            <w:left w:w="108" w:type="dxa"/>
            <w:bottom w:w="0" w:type="dxa"/>
            <w:right w:w="108" w:type="dxa"/>
          </w:tblCellMar>
        </w:tblPrEx>
        <w:trPr>
          <w:trHeight w:val="1050" w:hRule="atLeast"/>
        </w:trPr>
        <w:tc>
          <w:tcPr>
            <w:tcW w:w="841" w:type="dxa"/>
            <w:tcBorders>
              <w:top w:val="nil"/>
              <w:left w:val="single" w:color="auto" w:sz="4" w:space="0"/>
              <w:bottom w:val="single" w:color="auto" w:sz="4" w:space="0"/>
              <w:right w:val="single" w:color="auto" w:sz="4" w:space="0"/>
            </w:tcBorders>
            <w:shd w:val="clear" w:color="auto" w:fill="auto"/>
            <w:vAlign w:val="center"/>
          </w:tcPr>
          <w:p w14:paraId="3F781AF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二期列车车内画框</w:t>
            </w:r>
          </w:p>
        </w:tc>
        <w:tc>
          <w:tcPr>
            <w:tcW w:w="7896" w:type="dxa"/>
            <w:gridSpan w:val="8"/>
            <w:tcBorders>
              <w:top w:val="single" w:color="auto" w:sz="4" w:space="0"/>
              <w:left w:val="nil"/>
              <w:bottom w:val="single" w:color="auto" w:sz="4" w:space="0"/>
              <w:right w:val="single" w:color="auto" w:sz="4" w:space="0"/>
            </w:tcBorders>
            <w:shd w:val="clear" w:color="auto" w:fill="auto"/>
            <w:vAlign w:val="center"/>
          </w:tcPr>
          <w:p w14:paraId="260CF71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2号线二期共21列车， 每列车6节车厢，每节车箱6块35cm*55cm画框，每列车36块画框，共计756块画框。</w:t>
            </w:r>
          </w:p>
        </w:tc>
      </w:tr>
    </w:tbl>
    <w:p w14:paraId="34B66CEC">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标的物范围拟定为贵阳轨道交通2号线</w:t>
      </w:r>
      <w:r>
        <w:rPr>
          <w:rFonts w:hint="eastAsia" w:ascii="宋体" w:hAnsi="宋体" w:eastAsia="宋体" w:cs="宋体"/>
          <w:kern w:val="0"/>
          <w:sz w:val="24"/>
          <w:szCs w:val="24"/>
          <w:lang w:eastAsia="zh-CN"/>
        </w:rPr>
        <w:t>二期</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个车站和</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列列车内的常规和非常规平面广告媒体资源的整体经营权。</w:t>
      </w:r>
    </w:p>
    <w:p w14:paraId="548E9C4A">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1.常规媒体：指业主许可于经营线路内设置的固定形式或规格的广告媒体，具体包括：广告灯箱、梯牌、车内画框及多媒体广告设施（指在贵阳轨道交通2号线</w:t>
      </w:r>
      <w:r>
        <w:rPr>
          <w:rFonts w:hint="eastAsia" w:ascii="宋体" w:hAnsi="宋体" w:eastAsia="宋体" w:cs="宋体"/>
          <w:kern w:val="0"/>
          <w:sz w:val="24"/>
          <w:szCs w:val="24"/>
          <w:lang w:eastAsia="zh-CN"/>
        </w:rPr>
        <w:t>二期</w:t>
      </w:r>
      <w:r>
        <w:rPr>
          <w:rFonts w:hint="eastAsia" w:ascii="宋体" w:hAnsi="宋体" w:eastAsia="宋体" w:cs="宋体"/>
          <w:kern w:val="0"/>
          <w:sz w:val="24"/>
          <w:szCs w:val="24"/>
        </w:rPr>
        <w:t>广告资源清单中多媒体广告设施预留位置建设的设施）。除多媒体广告设施外，其他常规媒体资源由业主投资建设，多媒体广告设施由经营单位在指定预留位置自行承建，建设方案需报业主或管理单位审批通过后方可实施。</w:t>
      </w:r>
    </w:p>
    <w:p w14:paraId="4CFC9B19">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非常规媒体：指业主许可于经营线路内设置的非固定形式或非固定规格的广告媒体，具体包括：墙贴、玻璃贴、立柱贴、屏蔽门贴、梯间贴、展台、展架、车内贴和车内拉环。非常规媒体设置时间、地点、面积、方式等须遵循业主或管理单位的管理规定，并取得业主或管理单位同意后方可实施。</w:t>
      </w:r>
    </w:p>
    <w:p w14:paraId="69485C29">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非常规媒体由经营单位负责设计及规划，但在发布时不能遮挡、移动、改变站名、营运安全指示、导向指示等运营信息，不能对运营管理造成影响，不能改变车站、车厢现有设施或结构。</w:t>
      </w:r>
    </w:p>
    <w:p w14:paraId="510A7B24">
      <w:pPr>
        <w:spacing w:line="50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经营权费计算办法</w:t>
      </w:r>
    </w:p>
    <w:p w14:paraId="6CA5D63B">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广告经营权费按照本项目招商中标金额执行,各年度经营权费金额支付比例如下表：</w:t>
      </w:r>
    </w:p>
    <w:tbl>
      <w:tblPr>
        <w:tblStyle w:val="2"/>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051"/>
        <w:gridCol w:w="4819"/>
      </w:tblGrid>
      <w:tr w14:paraId="5E88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8" w:type="dxa"/>
            <w:vAlign w:val="center"/>
          </w:tcPr>
          <w:p w14:paraId="43BC2375">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3051" w:type="dxa"/>
            <w:vAlign w:val="center"/>
          </w:tcPr>
          <w:p w14:paraId="4F54AB81">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经营年度</w:t>
            </w:r>
          </w:p>
        </w:tc>
        <w:tc>
          <w:tcPr>
            <w:tcW w:w="4819" w:type="dxa"/>
            <w:vAlign w:val="center"/>
          </w:tcPr>
          <w:p w14:paraId="294A5FB1">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经营权费</w:t>
            </w:r>
            <w:r>
              <w:rPr>
                <w:rFonts w:hint="eastAsia" w:ascii="宋体" w:hAnsi="宋体" w:eastAsia="宋体" w:cs="宋体"/>
                <w:kern w:val="0"/>
                <w:sz w:val="18"/>
                <w:szCs w:val="18"/>
              </w:rPr>
              <w:t>支付</w:t>
            </w:r>
            <w:r>
              <w:rPr>
                <w:rFonts w:hint="eastAsia" w:ascii="宋体" w:hAnsi="宋体" w:eastAsia="宋体" w:cs="宋体"/>
                <w:sz w:val="18"/>
                <w:szCs w:val="18"/>
              </w:rPr>
              <w:t>比例</w:t>
            </w:r>
          </w:p>
        </w:tc>
      </w:tr>
      <w:tr w14:paraId="4AC5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8" w:type="dxa"/>
            <w:vAlign w:val="center"/>
          </w:tcPr>
          <w:p w14:paraId="3E3BDFDF">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3051" w:type="dxa"/>
            <w:vAlign w:val="center"/>
          </w:tcPr>
          <w:p w14:paraId="7F102945">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第一年度</w:t>
            </w:r>
          </w:p>
        </w:tc>
        <w:tc>
          <w:tcPr>
            <w:tcW w:w="4819" w:type="dxa"/>
            <w:vAlign w:val="center"/>
          </w:tcPr>
          <w:p w14:paraId="005D8BF4">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中标金额的</w:t>
            </w:r>
            <w:r>
              <w:rPr>
                <w:rFonts w:hint="eastAsia" w:ascii="宋体" w:hAnsi="宋体" w:eastAsia="宋体" w:cs="宋体"/>
                <w:sz w:val="18"/>
                <w:szCs w:val="18"/>
                <w:lang w:val="en-US" w:eastAsia="zh-CN"/>
              </w:rPr>
              <w:t>33.0</w:t>
            </w:r>
            <w:r>
              <w:rPr>
                <w:rFonts w:hint="eastAsia" w:ascii="宋体" w:hAnsi="宋体" w:eastAsia="宋体" w:cs="宋体"/>
                <w:sz w:val="18"/>
                <w:szCs w:val="18"/>
              </w:rPr>
              <w:t>%</w:t>
            </w:r>
          </w:p>
        </w:tc>
      </w:tr>
      <w:tr w14:paraId="0B7A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8" w:type="dxa"/>
            <w:vAlign w:val="center"/>
          </w:tcPr>
          <w:p w14:paraId="076B184E">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3051" w:type="dxa"/>
            <w:vAlign w:val="center"/>
          </w:tcPr>
          <w:p w14:paraId="12CF5AE3">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第二年度</w:t>
            </w:r>
          </w:p>
        </w:tc>
        <w:tc>
          <w:tcPr>
            <w:tcW w:w="4819" w:type="dxa"/>
            <w:vAlign w:val="center"/>
          </w:tcPr>
          <w:p w14:paraId="698905CE">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中标金额的</w:t>
            </w:r>
            <w:r>
              <w:rPr>
                <w:rFonts w:hint="eastAsia" w:ascii="宋体" w:hAnsi="宋体" w:eastAsia="宋体" w:cs="宋体"/>
                <w:sz w:val="18"/>
                <w:szCs w:val="18"/>
                <w:lang w:val="en-US" w:eastAsia="zh-CN"/>
              </w:rPr>
              <w:t>33.3</w:t>
            </w:r>
            <w:r>
              <w:rPr>
                <w:rFonts w:hint="eastAsia" w:ascii="宋体" w:hAnsi="宋体" w:eastAsia="宋体" w:cs="宋体"/>
                <w:sz w:val="18"/>
                <w:szCs w:val="18"/>
              </w:rPr>
              <w:t>%</w:t>
            </w:r>
          </w:p>
        </w:tc>
      </w:tr>
      <w:tr w14:paraId="43C2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8" w:type="dxa"/>
            <w:vAlign w:val="center"/>
          </w:tcPr>
          <w:p w14:paraId="302E7A80">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3051" w:type="dxa"/>
            <w:vAlign w:val="center"/>
          </w:tcPr>
          <w:p w14:paraId="25908D13">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第三年度</w:t>
            </w:r>
          </w:p>
        </w:tc>
        <w:tc>
          <w:tcPr>
            <w:tcW w:w="4819" w:type="dxa"/>
            <w:vAlign w:val="center"/>
          </w:tcPr>
          <w:p w14:paraId="0C83C5E9">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中标金额的</w:t>
            </w:r>
            <w:r>
              <w:rPr>
                <w:rFonts w:hint="eastAsia" w:ascii="宋体" w:hAnsi="宋体" w:eastAsia="宋体" w:cs="宋体"/>
                <w:sz w:val="18"/>
                <w:szCs w:val="18"/>
                <w:lang w:val="en-US" w:eastAsia="zh-CN"/>
              </w:rPr>
              <w:t>33.7</w:t>
            </w:r>
            <w:r>
              <w:rPr>
                <w:rFonts w:hint="eastAsia" w:ascii="宋体" w:hAnsi="宋体" w:eastAsia="宋体" w:cs="宋体"/>
                <w:sz w:val="18"/>
                <w:szCs w:val="18"/>
              </w:rPr>
              <w:t>%</w:t>
            </w:r>
          </w:p>
        </w:tc>
      </w:tr>
      <w:tr w14:paraId="61DE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8" w:type="dxa"/>
            <w:tcBorders>
              <w:top w:val="single" w:color="auto" w:sz="4" w:space="0"/>
              <w:left w:val="single" w:color="auto" w:sz="4" w:space="0"/>
              <w:bottom w:val="single" w:color="auto" w:sz="4" w:space="0"/>
              <w:right w:val="single" w:color="auto" w:sz="4" w:space="0"/>
            </w:tcBorders>
            <w:vAlign w:val="center"/>
          </w:tcPr>
          <w:p w14:paraId="148C28B7">
            <w:pPr>
              <w:numPr>
                <w:ilvl w:val="2"/>
                <w:numId w:val="0"/>
              </w:numPr>
              <w:autoSpaceDE w:val="0"/>
              <w:autoSpaceDN w:val="0"/>
              <w:adjustRightInd w:val="0"/>
              <w:spacing w:line="480" w:lineRule="exact"/>
              <w:jc w:val="center"/>
              <w:rPr>
                <w:rFonts w:hint="eastAsia" w:ascii="宋体" w:hAnsi="宋体" w:eastAsia="宋体" w:cs="宋体"/>
                <w:sz w:val="18"/>
                <w:szCs w:val="18"/>
              </w:rPr>
            </w:pPr>
          </w:p>
        </w:tc>
        <w:tc>
          <w:tcPr>
            <w:tcW w:w="3051" w:type="dxa"/>
            <w:tcBorders>
              <w:top w:val="single" w:color="auto" w:sz="4" w:space="0"/>
              <w:left w:val="single" w:color="auto" w:sz="4" w:space="0"/>
              <w:bottom w:val="single" w:color="auto" w:sz="4" w:space="0"/>
              <w:right w:val="single" w:color="auto" w:sz="4" w:space="0"/>
            </w:tcBorders>
            <w:vAlign w:val="center"/>
          </w:tcPr>
          <w:p w14:paraId="4EC8B2B7">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合计</w:t>
            </w:r>
          </w:p>
        </w:tc>
        <w:tc>
          <w:tcPr>
            <w:tcW w:w="4819" w:type="dxa"/>
            <w:tcBorders>
              <w:top w:val="single" w:color="auto" w:sz="4" w:space="0"/>
              <w:left w:val="single" w:color="auto" w:sz="4" w:space="0"/>
              <w:bottom w:val="single" w:color="auto" w:sz="4" w:space="0"/>
              <w:right w:val="single" w:color="auto" w:sz="4" w:space="0"/>
            </w:tcBorders>
            <w:vAlign w:val="center"/>
          </w:tcPr>
          <w:p w14:paraId="1A99A51D">
            <w:pPr>
              <w:numPr>
                <w:ilvl w:val="2"/>
                <w:numId w:val="0"/>
              </w:numPr>
              <w:autoSpaceDE w:val="0"/>
              <w:autoSpaceDN w:val="0"/>
              <w:adjustRightInd w:val="0"/>
              <w:spacing w:line="480" w:lineRule="exact"/>
              <w:jc w:val="center"/>
              <w:rPr>
                <w:rFonts w:hint="eastAsia" w:ascii="宋体" w:hAnsi="宋体" w:eastAsia="宋体" w:cs="宋体"/>
                <w:sz w:val="18"/>
                <w:szCs w:val="18"/>
              </w:rPr>
            </w:pPr>
            <w:r>
              <w:rPr>
                <w:rFonts w:hint="eastAsia" w:ascii="宋体" w:hAnsi="宋体" w:eastAsia="宋体" w:cs="宋体"/>
                <w:sz w:val="18"/>
                <w:szCs w:val="18"/>
              </w:rPr>
              <w:t>中标金额的100%</w:t>
            </w:r>
          </w:p>
        </w:tc>
      </w:tr>
    </w:tbl>
    <w:p w14:paraId="6AF4C8B0">
      <w:pPr>
        <w:spacing w:line="50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经营权费的调整</w:t>
      </w:r>
    </w:p>
    <w:p w14:paraId="2842739F">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 经营期内，如因经营单位原因导致可用于发布广告的常规媒体数量出现减少，经营权费不予调整。</w:t>
      </w:r>
    </w:p>
    <w:p w14:paraId="6819AE1B">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 经营单位在经营期内，如业主因政策、运营、安全等需要，导致经营单位可用于开展广告经营的设施数量较《贵阳轨道交通2号线</w:t>
      </w:r>
      <w:r>
        <w:rPr>
          <w:rFonts w:hint="eastAsia" w:ascii="宋体" w:hAnsi="宋体" w:eastAsia="宋体" w:cs="宋体"/>
          <w:kern w:val="0"/>
          <w:sz w:val="24"/>
          <w:szCs w:val="24"/>
          <w:lang w:eastAsia="zh-CN"/>
        </w:rPr>
        <w:t>二期</w:t>
      </w:r>
      <w:r>
        <w:rPr>
          <w:rFonts w:hint="eastAsia" w:ascii="宋体" w:hAnsi="宋体" w:eastAsia="宋体" w:cs="宋体"/>
          <w:kern w:val="0"/>
          <w:sz w:val="24"/>
          <w:szCs w:val="24"/>
        </w:rPr>
        <w:t>广告资源清单》中所列数量有所调整的，按照评估报告单价计算增减广告资源的价值，变化幅度不超过评估报告中广告资源价值5%（含5％）的，经营权费不做调整；变化幅度超过评估报告中广告资源价值5%的，该年度实际经营权费以实际移交的常规媒体数量为准计算，该年度预交的经营权费不予调整，在下一年度经营权费中进行相应增减。</w:t>
      </w:r>
    </w:p>
    <w:p w14:paraId="7C64FFAD">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调整金额计算公式为：</w:t>
      </w:r>
    </w:p>
    <w:p w14:paraId="7DF4A21F">
      <w:pPr>
        <w:jc w:val="left"/>
        <w:rPr>
          <w:rFonts w:ascii="仿宋_GB2312" w:hAnsi="仿宋" w:eastAsia="仿宋_GB2312"/>
        </w:rPr>
      </w:pPr>
      <m:oMathPara>
        <m:oMath>
          <m:r>
            <m:rPr>
              <m:sty m:val="p"/>
            </m:rPr>
            <w:rPr>
              <w:rFonts w:hint="eastAsia" w:ascii="Cambria Math" w:hAnsi="Cambria Math" w:eastAsia="仿宋_GB2312"/>
            </w:rPr>
            <m:t>增减金额</m:t>
          </m:r>
          <m:r>
            <m:rPr>
              <m:sty m:val="p"/>
            </m:rPr>
            <w:rPr>
              <w:rFonts w:ascii="Cambria Math" w:hAnsi="Cambria Math" w:eastAsia="仿宋_GB2312"/>
            </w:rPr>
            <m:t>=</m:t>
          </m:r>
          <m:r>
            <m:rPr>
              <m:sty m:val="p"/>
            </m:rPr>
            <w:rPr>
              <w:rFonts w:hint="eastAsia" w:ascii="Cambria Math" w:hAnsi="Cambria Math" w:eastAsia="仿宋_GB2312"/>
            </w:rPr>
            <m:t>该年度经营权费</m:t>
          </m:r>
          <m:r>
            <m:rPr>
              <m:sty m:val="p"/>
            </m:rPr>
            <w:rPr>
              <w:rFonts w:ascii="Cambria Math" w:hAnsi="Cambria Math" w:eastAsia="仿宋_GB2312"/>
            </w:rPr>
            <m:t>×</m:t>
          </m:r>
          <m:f>
            <m:fPr>
              <m:ctrlPr>
                <w:rPr>
                  <w:rFonts w:ascii="Cambria Math" w:hAnsi="Cambria Math" w:eastAsia="仿宋_GB2312"/>
                </w:rPr>
              </m:ctrlPr>
            </m:fPr>
            <m:num>
              <m:r>
                <m:rPr/>
                <w:rPr>
                  <w:rFonts w:hint="eastAsia" w:ascii="Cambria Math" w:hAnsi="Cambria Math" w:eastAsia="仿宋_GB2312"/>
                </w:rPr>
                <m:t>增减广告资源在</m:t>
              </m:r>
              <m:r>
                <m:rPr/>
                <w:rPr>
                  <w:rFonts w:ascii="Cambria Math" w:hAnsi="Cambria Math" w:eastAsia="仿宋_GB2312"/>
                </w:rPr>
                <m:t>评估报告中</m:t>
              </m:r>
              <m:r>
                <m:rPr/>
                <w:rPr>
                  <w:rFonts w:hint="eastAsia" w:ascii="Cambria Math" w:hAnsi="Cambria Math" w:eastAsia="仿宋_GB2312"/>
                </w:rPr>
                <m:t>价值</m:t>
              </m:r>
              <m:ctrlPr>
                <w:rPr>
                  <w:rFonts w:ascii="Cambria Math" w:hAnsi="Cambria Math" w:eastAsia="仿宋_GB2312"/>
                </w:rPr>
              </m:ctrlPr>
            </m:num>
            <m:den>
              <m:r>
                <m:rPr/>
                <w:rPr>
                  <w:rFonts w:ascii="Cambria Math" w:hAnsi="Cambria Math" w:eastAsia="仿宋_GB2312"/>
                </w:rPr>
                <m:t>评估报告中</m:t>
              </m:r>
              <m:r>
                <m:rPr/>
                <w:rPr>
                  <w:rFonts w:hint="eastAsia" w:ascii="Cambria Math" w:hAnsi="Cambria Math" w:eastAsia="仿宋_GB2312"/>
                </w:rPr>
                <m:t>所有平面广告资源价值</m:t>
              </m:r>
              <m:ctrlPr>
                <w:rPr>
                  <w:rFonts w:ascii="Cambria Math" w:hAnsi="Cambria Math" w:eastAsia="仿宋_GB2312"/>
                </w:rPr>
              </m:ctrlPr>
            </m:den>
          </m:f>
          <m:r>
            <m:rPr/>
            <w:rPr>
              <w:rFonts w:ascii="Cambria Math" w:hAnsi="Cambria Math" w:eastAsia="仿宋_GB2312"/>
            </w:rPr>
            <m:t>×</m:t>
          </m:r>
          <m:f>
            <m:fPr>
              <m:ctrlPr>
                <w:rPr>
                  <w:rFonts w:ascii="Cambria Math" w:hAnsi="Cambria Math" w:eastAsia="仿宋_GB2312"/>
                  <w:i/>
                </w:rPr>
              </m:ctrlPr>
            </m:fPr>
            <m:num>
              <m:r>
                <m:rPr/>
                <w:rPr>
                  <w:rFonts w:ascii="Cambria Math" w:hAnsi="Cambria Math" w:eastAsia="仿宋_GB2312"/>
                </w:rPr>
                <m:t>实际</m:t>
              </m:r>
              <m:r>
                <m:rPr/>
                <w:rPr>
                  <w:rFonts w:hint="eastAsia" w:ascii="Cambria Math" w:hAnsi="Cambria Math" w:eastAsia="仿宋_GB2312"/>
                </w:rPr>
                <m:t>增减</m:t>
              </m:r>
              <m:r>
                <m:rPr/>
                <w:rPr>
                  <w:rFonts w:ascii="Cambria Math" w:hAnsi="Cambria Math" w:eastAsia="仿宋_GB2312"/>
                </w:rPr>
                <m:t>使用天数</m:t>
              </m:r>
              <m:ctrlPr>
                <w:rPr>
                  <w:rFonts w:ascii="Cambria Math" w:hAnsi="Cambria Math" w:eastAsia="仿宋_GB2312"/>
                  <w:i/>
                </w:rPr>
              </m:ctrlPr>
            </m:num>
            <m:den>
              <m:r>
                <m:rPr/>
                <w:rPr>
                  <w:rFonts w:ascii="Cambria Math" w:hAnsi="Cambria Math" w:eastAsia="仿宋_GB2312"/>
                </w:rPr>
                <m:t>365</m:t>
              </m:r>
              <m:ctrlPr>
                <w:rPr>
                  <w:rFonts w:ascii="Cambria Math" w:hAnsi="Cambria Math" w:eastAsia="仿宋_GB2312"/>
                  <w:i/>
                </w:rPr>
              </m:ctrlPr>
            </m:den>
          </m:f>
        </m:oMath>
      </m:oMathPara>
    </w:p>
    <w:p w14:paraId="67E1170A">
      <w:pPr>
        <w:spacing w:line="360" w:lineRule="auto"/>
        <w:ind w:right="-483" w:rightChars="-230" w:firstLine="480" w:firstLineChars="200"/>
        <w:rPr>
          <w:rFonts w:ascii="仿宋_GB2312" w:eastAsia="仿宋_GB2312" w:cs="Arial" w:hAnsiTheme="majorEastAsia"/>
          <w:kern w:val="0"/>
          <w:sz w:val="24"/>
          <w:szCs w:val="24"/>
        </w:rPr>
      </w:pPr>
    </w:p>
    <w:p w14:paraId="040E69E5">
      <w:pPr>
        <w:spacing w:line="500" w:lineRule="exact"/>
        <w:ind w:firstLine="480" w:firstLineChars="200"/>
        <w:jc w:val="left"/>
        <w:rPr>
          <w:rFonts w:hint="eastAsia" w:ascii="宋体" w:hAnsi="宋体" w:eastAsia="宋体" w:cs="宋体"/>
          <w:kern w:val="0"/>
          <w:sz w:val="24"/>
          <w:szCs w:val="24"/>
        </w:rPr>
      </w:pPr>
      <w:bookmarkStart w:id="0" w:name="_GoBack"/>
      <w:bookmarkEnd w:id="0"/>
    </w:p>
    <w:p w14:paraId="1AD43144"/>
    <w:p w14:paraId="03FB86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4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怡~ (^.^)</cp:lastModifiedBy>
  <dcterms:modified xsi:type="dcterms:W3CDTF">2025-08-14T03:29:34Z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eyJoZGlkIjoiYTkwMzAxYzNjYWIxZDY1MGVhZTVmM2JmNTNjNGQ5MmQiLCJ1c2VySWQiOiI0NTA3MzA5NzYifQ==</vt:lpwstr>
  </property>
  <property fmtid="{D5CDD505-2E9C-101B-9397-08002B2CF9AE}" pid="4" name="ICV">
    <vt:lpwstr>3F43B00FFF554B3FA28C407145F88668_12</vt:lpwstr>
  </property>
</Properties>
</file>