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9DEB">
      <w:pPr>
        <w:widowControl/>
        <w:jc w:val="center"/>
        <w:rPr>
          <w:rFonts w:hint="eastAsia" w:ascii="方正小标宋简体" w:eastAsia="方正小标宋简体" w:cs="方正小标宋简体"/>
          <w:color w:val="000000"/>
          <w:spacing w:val="-20"/>
          <w:kern w:val="0"/>
          <w:sz w:val="72"/>
          <w:szCs w:val="72"/>
          <w:lang w:val="en-US" w:eastAsia="zh-CN"/>
        </w:rPr>
      </w:pPr>
    </w:p>
    <w:p w14:paraId="2F2B1249">
      <w:pPr>
        <w:widowControl/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r>
        <w:rPr>
          <w:rFonts w:hint="eastAsia" w:ascii="方正小标宋简体" w:eastAsia="方正小标宋简体" w:cs="方正小标宋简体"/>
          <w:color w:val="000000"/>
          <w:spacing w:val="-20"/>
          <w:kern w:val="0"/>
          <w:sz w:val="72"/>
          <w:szCs w:val="72"/>
          <w:lang w:val="en-US" w:eastAsia="zh-CN"/>
        </w:rPr>
        <w:t>成品粮油采购</w:t>
      </w: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eastAsia="zh-CN"/>
        </w:rPr>
        <w:t>协议书</w:t>
      </w:r>
    </w:p>
    <w:p w14:paraId="6576C930">
      <w:pPr>
        <w:widowControl/>
        <w:jc w:val="center"/>
        <w:rPr>
          <w:rFonts w:ascii="仿宋" w:eastAsia="仿宋"/>
          <w:b/>
          <w:bCs/>
          <w:color w:val="000000"/>
          <w:kern w:val="0"/>
          <w:sz w:val="31"/>
          <w:szCs w:val="31"/>
        </w:rPr>
      </w:pPr>
    </w:p>
    <w:p w14:paraId="03ED5AE6">
      <w:pPr>
        <w:pStyle w:val="2"/>
      </w:pPr>
    </w:p>
    <w:p w14:paraId="2FE06D64">
      <w:pPr>
        <w:widowControl/>
        <w:jc w:val="center"/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18DD54BA">
      <w:pPr>
        <w:pStyle w:val="2"/>
      </w:pPr>
    </w:p>
    <w:p w14:paraId="77703F9A">
      <w:pPr>
        <w:pStyle w:val="2"/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5B098334">
      <w:pPr>
        <w:pStyle w:val="2"/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66C414C8">
      <w:pPr>
        <w:pStyle w:val="2"/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6B4C1E80">
      <w:pPr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73D575A3">
      <w:pPr>
        <w:pStyle w:val="2"/>
      </w:pPr>
    </w:p>
    <w:p w14:paraId="24E009D0">
      <w:pPr>
        <w:pStyle w:val="2"/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31B5D531">
      <w:pPr>
        <w:pStyle w:val="2"/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7780737C">
      <w:pPr>
        <w:rPr>
          <w:rFonts w:ascii="仿宋" w:eastAsia="仿宋"/>
          <w:b/>
          <w:bCs/>
          <w:color w:val="000000"/>
          <w:kern w:val="0"/>
          <w:sz w:val="40"/>
          <w:szCs w:val="40"/>
        </w:rPr>
      </w:pPr>
    </w:p>
    <w:p w14:paraId="0ACD8AF1">
      <w:pPr>
        <w:pStyle w:val="3"/>
      </w:pPr>
    </w:p>
    <w:p w14:paraId="4AF168D7">
      <w:pPr>
        <w:widowControl/>
        <w:jc w:val="center"/>
        <w:rPr>
          <w:rFonts w:ascii="仿宋_GB2312" w:eastAsia="仿宋_GB2312"/>
          <w:b/>
          <w:bCs/>
          <w:color w:val="000000"/>
          <w:kern w:val="0"/>
          <w:sz w:val="44"/>
          <w:szCs w:val="44"/>
        </w:rPr>
      </w:pPr>
    </w:p>
    <w:p w14:paraId="7CBFD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eastAsia="楷体_GB2312" w:cs="楷体_GB2312"/>
          <w:b/>
          <w:bCs/>
          <w:color w:val="000000"/>
          <w:kern w:val="0"/>
          <w:sz w:val="44"/>
          <w:szCs w:val="44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44"/>
          <w:szCs w:val="44"/>
          <w:lang w:eastAsia="zh-CN"/>
        </w:rPr>
        <w:t>协议</w: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44"/>
          <w:szCs w:val="44"/>
        </w:rPr>
        <w:t>编号：</w:t>
      </w:r>
    </w:p>
    <w:p w14:paraId="1F266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eastAsia="楷体_GB2312" w:cs="楷体_GB2312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44"/>
          <w:szCs w:val="44"/>
        </w:rPr>
        <w:t>项目名称：</w: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44"/>
          <w:szCs w:val="44"/>
          <w:lang w:eastAsia="zh-CN"/>
        </w:rPr>
        <w:t>贵阳市粮食储备管理有限公司</w:t>
      </w:r>
    </w:p>
    <w:p w14:paraId="4F6402AB">
      <w:pPr>
        <w:pStyle w:val="2"/>
        <w:rPr>
          <w:rFonts w:hint="eastAsia" w:ascii="楷体_GB2312" w:eastAsia="楷体_GB2312" w:cs="楷体_GB2312"/>
          <w:b/>
          <w:bCs/>
          <w:color w:val="000000"/>
          <w:kern w:val="0"/>
          <w:sz w:val="44"/>
          <w:szCs w:val="44"/>
          <w:lang w:eastAsia="zh-CN"/>
        </w:rPr>
      </w:pPr>
    </w:p>
    <w:p w14:paraId="70BFE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3650F2">
      <w:pPr>
        <w:pStyle w:val="3"/>
        <w:rPr>
          <w:rFonts w:hint="eastAsia"/>
        </w:rPr>
      </w:pPr>
    </w:p>
    <w:p w14:paraId="0BF4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甲方：贵阳市粮食储备管理有限公司</w:t>
      </w:r>
    </w:p>
    <w:p w14:paraId="7F60F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乙方： </w:t>
      </w:r>
    </w:p>
    <w:p w14:paraId="7147FD92">
      <w:pPr>
        <w:pStyle w:val="6"/>
        <w:widowControl w:val="0"/>
        <w:spacing w:before="240" w:after="12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highlight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甲方根据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《贵阳市粮食储备管理有限公司XX吨市级储备成品粮大米//油采购及代储服务项目供应商征集公告》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（项目编号XX-XX-XX-XX）的公开招标结果，接受乙方作为本项目的供应商。甲、乙双方友好协商，共同签署本协议。</w:t>
      </w:r>
    </w:p>
    <w:p w14:paraId="5343489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品种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数量、规格及价值</w:t>
      </w:r>
    </w:p>
    <w:tbl>
      <w:tblPr>
        <w:tblStyle w:val="7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830"/>
        <w:gridCol w:w="720"/>
        <w:gridCol w:w="1025"/>
        <w:gridCol w:w="2259"/>
        <w:gridCol w:w="2277"/>
      </w:tblGrid>
      <w:tr w14:paraId="0054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70" w:type="dxa"/>
            <w:vAlign w:val="center"/>
          </w:tcPr>
          <w:p w14:paraId="58EF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1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1830" w:type="dxa"/>
            <w:vAlign w:val="center"/>
          </w:tcPr>
          <w:p w14:paraId="6163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 格</w:t>
            </w:r>
          </w:p>
        </w:tc>
        <w:tc>
          <w:tcPr>
            <w:tcW w:w="720" w:type="dxa"/>
            <w:vAlign w:val="center"/>
          </w:tcPr>
          <w:p w14:paraId="1B193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025" w:type="dxa"/>
            <w:vAlign w:val="center"/>
          </w:tcPr>
          <w:p w14:paraId="57A7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2259" w:type="dxa"/>
            <w:vAlign w:val="center"/>
          </w:tcPr>
          <w:p w14:paraId="3947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成交单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价（元）/吨</w:t>
            </w:r>
          </w:p>
        </w:tc>
        <w:tc>
          <w:tcPr>
            <w:tcW w:w="2277" w:type="dxa"/>
            <w:vAlign w:val="center"/>
          </w:tcPr>
          <w:p w14:paraId="22891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成交金额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45B8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70" w:type="dxa"/>
            <w:vAlign w:val="center"/>
          </w:tcPr>
          <w:p w14:paraId="6BF2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粳米</w:t>
            </w:r>
          </w:p>
        </w:tc>
        <w:tc>
          <w:tcPr>
            <w:tcW w:w="1830" w:type="dxa"/>
            <w:vAlign w:val="center"/>
          </w:tcPr>
          <w:p w14:paraId="3176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1935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吨</w:t>
            </w:r>
          </w:p>
        </w:tc>
        <w:tc>
          <w:tcPr>
            <w:tcW w:w="1025" w:type="dxa"/>
            <w:vAlign w:val="center"/>
          </w:tcPr>
          <w:p w14:paraId="1B63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XX吨</w:t>
            </w:r>
          </w:p>
        </w:tc>
        <w:tc>
          <w:tcPr>
            <w:tcW w:w="2259" w:type="dxa"/>
            <w:vAlign w:val="center"/>
          </w:tcPr>
          <w:p w14:paraId="25DE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277" w:type="dxa"/>
            <w:vAlign w:val="center"/>
          </w:tcPr>
          <w:p w14:paraId="7A85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</w:tr>
      <w:tr w14:paraId="27ED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70" w:type="dxa"/>
            <w:vAlign w:val="center"/>
          </w:tcPr>
          <w:p w14:paraId="76F3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合计金额</w:t>
            </w:r>
          </w:p>
        </w:tc>
        <w:tc>
          <w:tcPr>
            <w:tcW w:w="8111" w:type="dxa"/>
            <w:gridSpan w:val="5"/>
            <w:vAlign w:val="center"/>
          </w:tcPr>
          <w:p w14:paraId="35D1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</w:tr>
    </w:tbl>
    <w:p w14:paraId="11CFEE79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以上金额为包干价，包含货物货款、运输费、装卸费等一切相关费用。</w:t>
      </w:r>
    </w:p>
    <w:p w14:paraId="3A3F87B7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质量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及品质要求</w:t>
      </w:r>
    </w:p>
    <w:p w14:paraId="749697D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质量标准：乙方供应的成品粮/油须符合国标及以上质量标准（GB/T 1354-2018）。</w:t>
      </w:r>
    </w:p>
    <w:p w14:paraId="391C38A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品质保证：乙方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供应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成品粮/油须符合国家食品安全标准（GB 2761-2017及GB 2762-2022等）；须为入库前xx日内加工生产；包装、标签符合国家相关标准。</w:t>
      </w:r>
    </w:p>
    <w:p w14:paraId="7803D029">
      <w:pPr>
        <w:tabs>
          <w:tab w:val="left" w:pos="1280"/>
        </w:tabs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入库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时乙方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须附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供应批次有效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质检报告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若乙方不能提供，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由此造成的损失将由乙方全部承担。</w:t>
      </w:r>
    </w:p>
    <w:p w14:paraId="07CB27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入库时间</w:t>
      </w:r>
    </w:p>
    <w:p w14:paraId="359E12B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2025年XX月XX日至2028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年XX月XX日。</w:t>
      </w:r>
    </w:p>
    <w:p w14:paraId="61F0FAE4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协议有效期</w:t>
      </w:r>
    </w:p>
    <w:p w14:paraId="390B35D5">
      <w:pPr>
        <w:pStyle w:val="3"/>
        <w:numPr>
          <w:ilvl w:val="0"/>
          <w:numId w:val="0"/>
        </w:numPr>
        <w:ind w:left="0" w:leftChars="0" w:firstLine="42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本协议有效期自甲乙双方签订之日起至XX吨成品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粮/油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转为市级储备粮并完成移交时止。</w:t>
      </w:r>
    </w:p>
    <w:p w14:paraId="2DFE111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五、入库地点</w:t>
      </w:r>
    </w:p>
    <w:p w14:paraId="48704F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XXXX。</w:t>
      </w:r>
    </w:p>
    <w:p w14:paraId="561BE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六、付款方式及付款要求</w:t>
      </w:r>
    </w:p>
    <w:p w14:paraId="2501DF62">
      <w:pPr>
        <w:widowControl/>
        <w:spacing w:line="600" w:lineRule="atLeast"/>
        <w:ind w:firstLine="645"/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入库完毕且农发行贷款到账后，采购方支付至总货款的25%；综合验收通过转为市级储备粮且农发行贷款到账，采购方提交完毕相关付款资料后5个工作日之内支付剩余货款。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乙方需提交相应数量的入库单据、质检报告和发票等资料。</w:t>
      </w:r>
    </w:p>
    <w:p w14:paraId="3687B2BC">
      <w:pPr>
        <w:pStyle w:val="3"/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验收</w:t>
      </w:r>
    </w:p>
    <w:p w14:paraId="006500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甲方采购的该批成品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粮/油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入库时，甲方监管人员现场对入库成品粮各批次质检报告、数量、包装物及标签标识等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  <w:t>按省、市各级成品粮政策要求进行核验，核验无误后可预入库。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全部预入库完毕后，由贵阳市粮食和物资储备局组织综合验收，转为市级储备粮并移交给乙方纳入代储管理；</w:t>
      </w:r>
    </w:p>
    <w:p w14:paraId="50B90D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不合格的甲方作退货处理，退货由乙方自行处置。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乙方应在甲方规定时间内完成退货和重新入库工作。如乙方换货后，不合格，乙方须全额退还甲方已支付货款，并承担一切责任及损失。</w:t>
      </w:r>
    </w:p>
    <w:p w14:paraId="6EF1A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八、责任和义务</w:t>
      </w:r>
    </w:p>
    <w:p w14:paraId="1DBF5F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入库完毕且农发行贷款到账后，采购方支付至总货款的25%，综合验收通过转为市级储备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粮/油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且采购方提交完毕相关付款资料后5个工作日内支付剩余货款。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甲方如未按时支付，每日按应付未付金额的0.3‰支付违约金至清偿之日。</w:t>
      </w:r>
    </w:p>
    <w:p w14:paraId="0212A6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（二）收到中标通知书之日起，乙方须拟定入库计划交给甲方，并按计划入库。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  <w:t>如乙方未按计划入库的，每日按应入未入数量对应货款的0.5‰支付给甲方至完成该笔货物交割，且乙方须承担相应责任。</w:t>
      </w:r>
    </w:p>
    <w:p w14:paraId="03A8B4C6">
      <w:pPr>
        <w:widowControl/>
        <w:spacing w:line="60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（三）甲乙双方在签订本协议前，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成交人须向采购方缴纳货款总金额5%的资金作为履约保证金，入库完毕经采购方上级粮权主管部门委托的第三方综合扦样，并出具检测结果为合格的质检报告，转为市级储备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粮/油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后，按规定完成移交后5个工作日内全额无息退还给成交人。</w:t>
      </w:r>
    </w:p>
    <w:p w14:paraId="780592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（四）本协议须和《成品粮油储备委托储存协议书》同时签订。</w:t>
      </w:r>
    </w:p>
    <w:p w14:paraId="384C5B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五）入库前，乙方应对入库工作相关人员（包含但不限于司机、装卸工等一切和入库相关的工作人员）做好安全生产相关培训，入库时发生的一切安全责任或事故引发的法律责任、纠纷及赔偿等，由乙方全部承担。</w:t>
      </w:r>
    </w:p>
    <w:p w14:paraId="0F066D09">
      <w:pPr>
        <w:pStyle w:val="3"/>
        <w:ind w:left="0" w:leftChars="0" w:firstLine="640" w:firstLineChars="200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九、保证金退还</w:t>
      </w:r>
    </w:p>
    <w:p w14:paraId="0F289A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1.因不可抗力因素导致本合同无法正常履行，双方解除合同后甲方全额无息退还乙方缴纳的保证金；</w:t>
      </w:r>
    </w:p>
    <w:p w14:paraId="4E84A4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2.若因甲方上级主管部门政策性调整该批成品粮数量，甲方按本协议保证金收取标准收取调整后数量的保证金，多收部分甲方无息退还乙方。</w:t>
      </w:r>
    </w:p>
    <w:p w14:paraId="13FCE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十、违约责任</w:t>
      </w:r>
    </w:p>
    <w:p w14:paraId="1ABE1267">
      <w:pPr>
        <w:pStyle w:val="3"/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本协议一经签订，甲乙双方须共同遵守，如发生违约，违约方除承担相应责任和损失外，还须以本协议总金额的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3‰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作为违约金，支付给守约方。</w:t>
      </w:r>
    </w:p>
    <w:p w14:paraId="63380B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十一、解决协议纠纷的方式</w:t>
      </w:r>
    </w:p>
    <w:p w14:paraId="665788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1.本协议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未尽事宜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双方另行商定补充，补充协议和本协议具有同等法律效力。</w:t>
      </w:r>
    </w:p>
    <w:p w14:paraId="5CE89C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2.在协议执行过程中，双方发生争议，由双方协商解决，协商不成，可向甲方所在地有管辖权的人民法院提起诉讼。</w:t>
      </w:r>
    </w:p>
    <w:p w14:paraId="5FAEA74D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十二、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本协议一式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份，甲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乙双方各执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份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本协议与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《成品粮油储备委托储存协议书》作为本项目的两个部分，均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须双方法定代表人或其委托代理人盖章或签字，并加盖单位公章后生效。授权委托代理人签订的，需附授权委托书。</w:t>
      </w:r>
    </w:p>
    <w:p w14:paraId="3398F16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E6C3B34">
      <w:pPr>
        <w:spacing w:before="0" w:after="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甲方（盖章）：                  乙方（盖章）：</w:t>
      </w:r>
    </w:p>
    <w:p w14:paraId="00ACBE62">
      <w:pPr>
        <w:spacing w:before="0" w:after="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代表（签字）：                  代表（签字）：</w:t>
      </w:r>
    </w:p>
    <w:p w14:paraId="782CECCC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委托代理人（签字）：            委托代理人（签字）：</w:t>
      </w:r>
    </w:p>
    <w:p w14:paraId="54F73660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E1D28F2">
      <w:pPr>
        <w:spacing w:line="560" w:lineRule="exact"/>
        <w:ind w:firstLine="640" w:firstLineChars="200"/>
        <w:jc w:val="both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签订日期        </w:t>
      </w:r>
      <w:r>
        <w:rPr>
          <w:rFonts w:hint="eastAsia" w:ascii="仿宋" w:hAnsi="仿宋" w:eastAsia="仿宋" w:cs="仿宋"/>
          <w:sz w:val="32"/>
          <w:szCs w:val="32"/>
        </w:rPr>
        <w:t>年     月    日</w:t>
      </w:r>
    </w:p>
    <w:p w14:paraId="143FC4C4"/>
    <w:p w14:paraId="574F598D">
      <w:pPr>
        <w:pStyle w:val="2"/>
      </w:pPr>
    </w:p>
    <w:p w14:paraId="6C9C6FD2">
      <w:pPr>
        <w:pStyle w:val="2"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DDB01-6BAE-43BE-9DD9-A0A059B235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E6E344-7580-4355-846B-EF3C71B102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E0E3CD-67DD-4834-B059-4037D8CE96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56710E-33B8-478A-B557-288BA4DFE1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FCCAA7D-7033-4214-8C98-97403551029D}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  <w:embedRegular r:id="rId6" w:fontKey="{5A4B81C2-3188-4729-B175-06D4082443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C741160-8E4F-436E-9CC0-8AD5A36938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5508B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D0206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D0206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cs="Calibri"/>
    </w:rPr>
  </w:style>
  <w:style w:type="paragraph" w:styleId="3">
    <w:name w:val="table of authorities"/>
    <w:basedOn w:val="1"/>
    <w:next w:val="1"/>
    <w:qFormat/>
    <w:uiPriority w:val="99"/>
    <w:pPr>
      <w:widowControl w:val="0"/>
      <w:ind w:left="420" w:leftChars="200"/>
    </w:pPr>
    <w:rPr>
      <w:rFonts w:ascii="Calibri" w:hAnsi="Calibri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1644</Words>
  <Characters>1717</Characters>
  <Lines>0</Lines>
  <Paragraphs>86</Paragraphs>
  <TotalTime>0</TotalTime>
  <ScaleCrop>false</ScaleCrop>
  <LinksUpToDate>false</LinksUpToDate>
  <CharactersWithSpaces>1789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2023-02-23T14:19:00Z</dcterms:created>
  <dc:creator>高翔</dc:creator>
  <cp:lastModifiedBy>贝雨羽</cp:lastModifiedBy>
  <dcterms:modified xsi:type="dcterms:W3CDTF">2025-03-27T07:20:02Z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FF62F6639BB24483B5C68DC661477C1A_13</vt:lpwstr>
  </property>
  <property fmtid="{D5CDD505-2E9C-101B-9397-08002B2CF9AE}" pid="4" name="KSOTemplateDocerSaveRecord">
    <vt:lpwstr>eyJoZGlkIjoiNWFmZjVlOTYzYWI1YzA4MzVkNjRlMWYxMzlmODExMDAiLCJ1c2VySWQiOiIyNDY4MDM2MDAifQ==</vt:lpwstr>
  </property>
</Properties>
</file>