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both"/>
        <w:rPr>
          <w:rFonts w:hint="default" w:ascii="Times New Roman" w:hAnsi="Times New Roman" w:cs="Times New Roman"/>
          <w:b/>
          <w:bCs/>
          <w:color w:val="auto"/>
          <w:kern w:val="40"/>
          <w:sz w:val="21"/>
          <w:highlight w:val="none"/>
        </w:rPr>
      </w:pPr>
      <w:r>
        <w:rPr>
          <w:rFonts w:hint="eastAsia" w:ascii="Times New Roman" w:hAnsi="Times New Roman" w:cs="Times New Roman"/>
          <w:b/>
          <w:bCs/>
          <w:color w:val="auto"/>
          <w:kern w:val="40"/>
          <w:sz w:val="21"/>
          <w:highlight w:val="none"/>
          <w:lang w:val="en-US" w:eastAsia="zh-CN"/>
        </w:rPr>
        <w:t xml:space="preserve">附件2                                                 </w:t>
      </w:r>
      <w:r>
        <w:rPr>
          <w:rFonts w:hint="default" w:ascii="Times New Roman" w:hAnsi="Times New Roman" w:cs="Times New Roman"/>
          <w:b/>
          <w:bCs/>
          <w:color w:val="auto"/>
          <w:kern w:val="40"/>
          <w:sz w:val="21"/>
          <w:highlight w:val="none"/>
        </w:rPr>
        <w:t>规划区负面清单</w:t>
      </w:r>
    </w:p>
    <w:tbl>
      <w:tblPr>
        <w:tblStyle w:val="2"/>
        <w:tblW w:w="55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0" w:type="dxa"/>
          <w:bottom w:w="57" w:type="dxa"/>
          <w:right w:w="0" w:type="dxa"/>
        </w:tblCellMar>
      </w:tblPr>
      <w:tblGrid>
        <w:gridCol w:w="965"/>
        <w:gridCol w:w="14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421" w:hRule="atLeast"/>
          <w:tblHeader/>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pPr>
              <w:pStyle w:val="4"/>
              <w:adjustRightInd w:val="0"/>
              <w:spacing w:line="312" w:lineRule="auto"/>
              <w:ind w:firstLine="0" w:firstLineChars="0"/>
              <w:rPr>
                <w:rFonts w:hint="default" w:ascii="Times New Roman" w:hAnsi="Times New Roman" w:cs="Times New Roman"/>
                <w:b/>
                <w:color w:val="auto"/>
                <w:highlight w:val="none"/>
              </w:rPr>
            </w:pPr>
            <w:r>
              <w:rPr>
                <w:rFonts w:hint="default" w:ascii="Times New Roman" w:hAnsi="Times New Roman" w:cs="Times New Roman"/>
                <w:b/>
                <w:color w:val="auto"/>
                <w:highlight w:val="none"/>
              </w:rPr>
              <w:t>编号</w:t>
            </w:r>
          </w:p>
        </w:tc>
        <w:tc>
          <w:tcPr>
            <w:tcW w:w="4687" w:type="pct"/>
            <w:tcBorders>
              <w:top w:val="single" w:color="auto" w:sz="4" w:space="0"/>
              <w:left w:val="single" w:color="auto" w:sz="4" w:space="0"/>
              <w:bottom w:val="single" w:color="auto" w:sz="4" w:space="0"/>
              <w:right w:val="single" w:color="auto" w:sz="4" w:space="0"/>
            </w:tcBorders>
            <w:noWrap w:val="0"/>
            <w:vAlign w:val="center"/>
          </w:tcPr>
          <w:p>
            <w:pPr>
              <w:pStyle w:val="4"/>
              <w:adjustRightInd w:val="0"/>
              <w:spacing w:line="312" w:lineRule="auto"/>
              <w:ind w:firstLine="0" w:firstLineChars="0"/>
              <w:rPr>
                <w:rFonts w:hint="default" w:ascii="Times New Roman" w:hAnsi="Times New Roman" w:cs="Times New Roman"/>
                <w:b/>
                <w:color w:val="auto"/>
                <w:highlight w:val="none"/>
              </w:rPr>
            </w:pPr>
            <w:r>
              <w:rPr>
                <w:rFonts w:hint="default" w:ascii="Times New Roman" w:hAnsi="Times New Roman" w:cs="Times New Roman"/>
                <w:b/>
                <w:color w:val="auto"/>
                <w:highlight w:val="none"/>
              </w:rPr>
              <w:t>准入要求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457" w:hRule="atLeast"/>
          <w:tblHeader/>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360"/>
              <w:rPr>
                <w:rFonts w:hint="default" w:ascii="Times New Roman" w:hAnsi="Times New Roman" w:cs="Times New Roman"/>
                <w:bCs/>
                <w:color w:val="auto"/>
                <w:highlight w:val="none"/>
              </w:rPr>
            </w:pPr>
            <w:r>
              <w:rPr>
                <w:rFonts w:hint="default" w:ascii="Times New Roman" w:hAnsi="Times New Roman" w:cs="Times New Roman"/>
                <w:color w:val="auto"/>
                <w:sz w:val="18"/>
                <w:szCs w:val="18"/>
                <w:highlight w:val="none"/>
              </w:rPr>
              <w:t>1</w:t>
            </w:r>
          </w:p>
        </w:tc>
        <w:tc>
          <w:tcPr>
            <w:tcW w:w="4687" w:type="pct"/>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ind w:firstLine="420"/>
              <w:jc w:val="left"/>
              <w:rPr>
                <w:rFonts w:hint="default" w:ascii="Times New Roman" w:hAnsi="Times New Roman" w:cs="Times New Roman"/>
                <w:bCs/>
                <w:color w:val="auto"/>
                <w:sz w:val="21"/>
                <w:szCs w:val="21"/>
                <w:highlight w:val="none"/>
              </w:rPr>
            </w:pPr>
            <w:r>
              <w:rPr>
                <w:rFonts w:hint="default" w:ascii="Times New Roman" w:hAnsi="Times New Roman" w:cs="Times New Roman"/>
                <w:color w:val="auto"/>
                <w:sz w:val="21"/>
                <w:szCs w:val="21"/>
                <w:highlight w:val="none"/>
                <w:lang w:bidi="ar"/>
              </w:rPr>
              <w:t xml:space="preserve">不符合国家专门制定产业政策和行业准入条件、国家和地方明令禁止的项目。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457" w:hRule="atLeast"/>
          <w:tblHeader/>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360"/>
              <w:rPr>
                <w:rFonts w:hint="default" w:ascii="Times New Roman" w:hAnsi="Times New Roman" w:cs="Times New Roman"/>
                <w:bCs/>
                <w:color w:val="auto"/>
                <w:highlight w:val="none"/>
              </w:rPr>
            </w:pPr>
            <w:r>
              <w:rPr>
                <w:rFonts w:hint="default" w:ascii="Times New Roman" w:hAnsi="Times New Roman" w:cs="Times New Roman"/>
                <w:color w:val="auto"/>
                <w:sz w:val="18"/>
                <w:szCs w:val="18"/>
                <w:highlight w:val="none"/>
              </w:rPr>
              <w:t>2</w:t>
            </w:r>
          </w:p>
        </w:tc>
        <w:tc>
          <w:tcPr>
            <w:tcW w:w="4687" w:type="pct"/>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ind w:firstLine="420"/>
              <w:jc w:val="left"/>
              <w:rPr>
                <w:rFonts w:hint="default" w:ascii="Times New Roman" w:hAnsi="Times New Roman" w:cs="Times New Roman"/>
                <w:bCs/>
                <w:color w:val="auto"/>
                <w:highlight w:val="none"/>
              </w:rPr>
            </w:pPr>
            <w:r>
              <w:rPr>
                <w:rFonts w:hint="default" w:ascii="Times New Roman" w:hAnsi="Times New Roman" w:cs="Times New Roman"/>
                <w:color w:val="auto"/>
                <w:sz w:val="21"/>
                <w:szCs w:val="21"/>
                <w:highlight w:val="none"/>
                <w:lang w:bidi="ar"/>
              </w:rPr>
              <w:t xml:space="preserve">不符合国家及省、市重金属污染防治规划要求的项目。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457" w:hRule="atLeast"/>
          <w:tblHeader/>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360"/>
              <w:rPr>
                <w:rFonts w:hint="default" w:ascii="Times New Roman" w:hAnsi="Times New Roman" w:cs="Times New Roman"/>
                <w:color w:val="auto"/>
                <w:highlight w:val="none"/>
              </w:rPr>
            </w:pPr>
            <w:r>
              <w:rPr>
                <w:rFonts w:hint="default" w:ascii="Times New Roman" w:hAnsi="Times New Roman" w:cs="Times New Roman"/>
                <w:color w:val="auto"/>
                <w:sz w:val="18"/>
                <w:szCs w:val="18"/>
                <w:highlight w:val="none"/>
              </w:rPr>
              <w:t>3</w:t>
            </w:r>
          </w:p>
        </w:tc>
        <w:tc>
          <w:tcPr>
            <w:tcW w:w="4687" w:type="pct"/>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ind w:firstLine="420"/>
              <w:jc w:val="left"/>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 xml:space="preserve">技术落后，高能耗、高水耗，清洁生产水平不能达到行业清洁生产标准二级标准要求或低于同行业平均清洁生产水平的项目。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457" w:hRule="atLeast"/>
          <w:tblHeader/>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pPr>
              <w:spacing w:line="240" w:lineRule="auto"/>
              <w:ind w:firstLine="360"/>
              <w:rPr>
                <w:rFonts w:hint="default" w:ascii="Times New Roman" w:hAnsi="Times New Roman" w:cs="Times New Roman"/>
                <w:color w:val="auto"/>
                <w:highlight w:val="none"/>
              </w:rPr>
            </w:pPr>
            <w:r>
              <w:rPr>
                <w:rFonts w:hint="default" w:ascii="Times New Roman" w:hAnsi="Times New Roman" w:cs="Times New Roman"/>
                <w:color w:val="auto"/>
                <w:sz w:val="18"/>
                <w:szCs w:val="18"/>
                <w:highlight w:val="none"/>
              </w:rPr>
              <w:t>4</w:t>
            </w:r>
          </w:p>
        </w:tc>
        <w:tc>
          <w:tcPr>
            <w:tcW w:w="4687" w:type="pct"/>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ind w:firstLine="420"/>
              <w:jc w:val="left"/>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 xml:space="preserve">国家明令禁止的“十五小”、“新五小”企业及工艺设备落后、污染严重，且污染物不能进行有效治理的项目。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743" w:hRule="atLeast"/>
          <w:tblHeader/>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360"/>
              <w:rPr>
                <w:rFonts w:hint="default" w:ascii="Times New Roman" w:hAnsi="Times New Roman" w:cs="Times New Roman"/>
                <w:color w:val="auto"/>
                <w:highlight w:val="none"/>
              </w:rPr>
            </w:pPr>
            <w:r>
              <w:rPr>
                <w:rFonts w:hint="default" w:ascii="Times New Roman" w:hAnsi="Times New Roman" w:cs="Times New Roman"/>
                <w:color w:val="auto"/>
                <w:sz w:val="18"/>
                <w:szCs w:val="18"/>
                <w:highlight w:val="none"/>
              </w:rPr>
              <w:t>5</w:t>
            </w:r>
          </w:p>
        </w:tc>
        <w:tc>
          <w:tcPr>
            <w:tcW w:w="4687" w:type="pct"/>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ind w:firstLine="420"/>
              <w:jc w:val="left"/>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禁止新建C17纺织业</w:t>
            </w:r>
            <w:r>
              <w:rPr>
                <w:rFonts w:hint="eastAsia" w:cs="Times New Roman"/>
                <w:color w:val="auto"/>
                <w:sz w:val="21"/>
                <w:szCs w:val="21"/>
                <w:highlight w:val="none"/>
                <w:lang w:eastAsia="zh-CN" w:bidi="ar"/>
              </w:rPr>
              <w:t>（</w:t>
            </w:r>
            <w:r>
              <w:rPr>
                <w:rFonts w:hint="eastAsia" w:cs="Times New Roman"/>
                <w:color w:val="auto"/>
                <w:sz w:val="21"/>
                <w:szCs w:val="21"/>
                <w:highlight w:val="none"/>
                <w:lang w:val="en-US" w:eastAsia="zh-CN" w:bidi="ar"/>
              </w:rPr>
              <w:t>无染整精加工工艺且不排水的除外</w:t>
            </w:r>
            <w:r>
              <w:rPr>
                <w:rFonts w:hint="eastAsia" w:cs="Times New Roman"/>
                <w:color w:val="auto"/>
                <w:sz w:val="21"/>
                <w:szCs w:val="21"/>
                <w:highlight w:val="none"/>
                <w:lang w:eastAsia="zh-CN" w:bidi="ar"/>
              </w:rPr>
              <w:t>）</w:t>
            </w:r>
            <w:r>
              <w:rPr>
                <w:rFonts w:hint="default" w:ascii="Times New Roman" w:hAnsi="Times New Roman" w:cs="Times New Roman"/>
                <w:color w:val="auto"/>
                <w:sz w:val="21"/>
                <w:szCs w:val="21"/>
                <w:highlight w:val="none"/>
                <w:lang w:bidi="ar"/>
              </w:rPr>
              <w:t>、C19制革</w:t>
            </w:r>
            <w:r>
              <w:rPr>
                <w:rFonts w:hint="eastAsia" w:cs="Times New Roman"/>
                <w:color w:val="auto"/>
                <w:sz w:val="21"/>
                <w:szCs w:val="21"/>
                <w:highlight w:val="none"/>
                <w:lang w:eastAsia="zh-CN" w:bidi="ar"/>
              </w:rPr>
              <w:t>（</w:t>
            </w:r>
            <w:r>
              <w:rPr>
                <w:rFonts w:hint="eastAsia" w:cs="Times New Roman"/>
                <w:color w:val="auto"/>
                <w:sz w:val="21"/>
                <w:szCs w:val="21"/>
                <w:highlight w:val="none"/>
                <w:lang w:val="en-US" w:eastAsia="zh-CN" w:bidi="ar"/>
              </w:rPr>
              <w:t>无皮革柔制工序且不排水的除外</w:t>
            </w:r>
            <w:r>
              <w:rPr>
                <w:rFonts w:hint="eastAsia" w:cs="Times New Roman"/>
                <w:color w:val="auto"/>
                <w:sz w:val="21"/>
                <w:szCs w:val="21"/>
                <w:highlight w:val="none"/>
                <w:lang w:eastAsia="zh-CN" w:bidi="ar"/>
              </w:rPr>
              <w:t>）</w:t>
            </w:r>
            <w:r>
              <w:rPr>
                <w:rFonts w:hint="default" w:ascii="Times New Roman" w:hAnsi="Times New Roman" w:cs="Times New Roman"/>
                <w:color w:val="auto"/>
                <w:sz w:val="21"/>
                <w:szCs w:val="21"/>
                <w:highlight w:val="none"/>
                <w:lang w:bidi="ar"/>
              </w:rPr>
              <w:t>、C22制浆造纸（非原浆造纸</w:t>
            </w:r>
            <w:r>
              <w:rPr>
                <w:rFonts w:hint="eastAsia" w:cs="Times New Roman"/>
                <w:color w:val="auto"/>
                <w:sz w:val="21"/>
                <w:szCs w:val="21"/>
                <w:highlight w:val="none"/>
                <w:lang w:val="en-US" w:eastAsia="zh-CN" w:bidi="ar"/>
              </w:rPr>
              <w:t>且</w:t>
            </w:r>
            <w:r>
              <w:rPr>
                <w:rFonts w:hint="default" w:ascii="Times New Roman" w:hAnsi="Times New Roman" w:cs="Times New Roman"/>
                <w:color w:val="auto"/>
                <w:sz w:val="21"/>
                <w:szCs w:val="21"/>
                <w:highlight w:val="none"/>
                <w:lang w:bidi="ar"/>
              </w:rPr>
              <w:t>不排水</w:t>
            </w:r>
            <w:r>
              <w:rPr>
                <w:rFonts w:hint="eastAsia" w:cs="Times New Roman"/>
                <w:color w:val="auto"/>
                <w:sz w:val="21"/>
                <w:szCs w:val="21"/>
                <w:highlight w:val="none"/>
                <w:lang w:eastAsia="zh-CN" w:bidi="ar"/>
              </w:rPr>
              <w:t>的</w:t>
            </w:r>
            <w:r>
              <w:rPr>
                <w:rFonts w:hint="default" w:ascii="Times New Roman" w:hAnsi="Times New Roman" w:cs="Times New Roman"/>
                <w:color w:val="auto"/>
                <w:sz w:val="21"/>
                <w:szCs w:val="21"/>
                <w:highlight w:val="none"/>
                <w:lang w:bidi="ar"/>
              </w:rPr>
              <w:t>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1028" w:hRule="atLeast"/>
          <w:tblHeader/>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360"/>
              <w:rPr>
                <w:rFonts w:hint="default" w:ascii="Times New Roman" w:hAnsi="Times New Roman" w:cs="Times New Roman"/>
                <w:color w:val="auto"/>
                <w:highlight w:val="none"/>
              </w:rPr>
            </w:pPr>
            <w:r>
              <w:rPr>
                <w:rFonts w:hint="default" w:ascii="Times New Roman" w:hAnsi="Times New Roman" w:cs="Times New Roman"/>
                <w:color w:val="auto"/>
                <w:sz w:val="18"/>
                <w:szCs w:val="18"/>
                <w:highlight w:val="none"/>
              </w:rPr>
              <w:t>6</w:t>
            </w:r>
          </w:p>
        </w:tc>
        <w:tc>
          <w:tcPr>
            <w:tcW w:w="4687" w:type="pct"/>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ind w:firstLine="420"/>
              <w:jc w:val="left"/>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禁止新建C25石油、煤炭及其他燃料加工业</w:t>
            </w:r>
            <w:r>
              <w:rPr>
                <w:rFonts w:hint="eastAsia" w:cs="Times New Roman"/>
                <w:color w:val="auto"/>
                <w:sz w:val="21"/>
                <w:szCs w:val="21"/>
                <w:highlight w:val="none"/>
                <w:lang w:eastAsia="zh-CN" w:bidi="ar"/>
              </w:rPr>
              <w:t>（</w:t>
            </w:r>
            <w:r>
              <w:rPr>
                <w:rFonts w:hint="eastAsia" w:cs="Times New Roman"/>
                <w:color w:val="auto"/>
                <w:sz w:val="21"/>
                <w:szCs w:val="21"/>
                <w:highlight w:val="none"/>
                <w:lang w:val="en-US" w:eastAsia="zh-CN" w:bidi="ar"/>
              </w:rPr>
              <w:t>生物质燃料加工除外</w:t>
            </w:r>
            <w:r>
              <w:rPr>
                <w:rFonts w:hint="eastAsia" w:cs="Times New Roman"/>
                <w:color w:val="auto"/>
                <w:sz w:val="21"/>
                <w:szCs w:val="21"/>
                <w:highlight w:val="none"/>
                <w:lang w:eastAsia="zh-CN" w:bidi="ar"/>
              </w:rPr>
              <w:t>）</w:t>
            </w:r>
            <w:r>
              <w:rPr>
                <w:rFonts w:hint="default" w:ascii="Times New Roman" w:hAnsi="Times New Roman" w:cs="Times New Roman"/>
                <w:color w:val="auto"/>
                <w:sz w:val="21"/>
                <w:szCs w:val="21"/>
                <w:highlight w:val="none"/>
                <w:lang w:bidi="ar"/>
              </w:rPr>
              <w:t>、C26化学原料和化学制品制造业[单纯物理分离、物理提纯、混合、分装的(不产生废水或挥发性有机物的除外）</w:t>
            </w:r>
            <w:r>
              <w:rPr>
                <w:rFonts w:hint="eastAsia" w:cs="Times New Roman"/>
                <w:color w:val="auto"/>
                <w:sz w:val="21"/>
                <w:szCs w:val="21"/>
                <w:highlight w:val="none"/>
                <w:lang w:val="en-US" w:eastAsia="zh-CN" w:bidi="ar"/>
              </w:rPr>
              <w:t>]</w:t>
            </w:r>
            <w:r>
              <w:rPr>
                <w:rFonts w:hint="default" w:ascii="Times New Roman" w:hAnsi="Times New Roman" w:cs="Times New Roman"/>
                <w:color w:val="auto"/>
                <w:sz w:val="21"/>
                <w:szCs w:val="21"/>
                <w:highlight w:val="none"/>
                <w:lang w:bidi="ar"/>
              </w:rPr>
              <w:t xml:space="preserve">、C31黑色金属冶炼和压延加工业、C32 有色金属冶炼和压延加工业等大气污染物排放量大的企业。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457" w:hRule="atLeast"/>
          <w:tblHeader/>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360"/>
              <w:rPr>
                <w:rFonts w:hint="default" w:ascii="Times New Roman" w:hAnsi="Times New Roman" w:cs="Times New Roman"/>
                <w:color w:val="auto"/>
                <w:highlight w:val="none"/>
              </w:rPr>
            </w:pPr>
            <w:r>
              <w:rPr>
                <w:rFonts w:hint="default" w:ascii="Times New Roman" w:hAnsi="Times New Roman" w:cs="Times New Roman"/>
                <w:color w:val="auto"/>
                <w:sz w:val="18"/>
                <w:szCs w:val="18"/>
                <w:highlight w:val="none"/>
              </w:rPr>
              <w:t>7</w:t>
            </w:r>
          </w:p>
        </w:tc>
        <w:tc>
          <w:tcPr>
            <w:tcW w:w="4687" w:type="pct"/>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ind w:firstLine="420"/>
              <w:jc w:val="left"/>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禁止在表面处理园外引进排放废水含有重点重金属（铅、汞、铬、镉、砷）和“POPs”清单物质的项目。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743" w:hRule="atLeast"/>
          <w:tblHeader/>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360"/>
              <w:rPr>
                <w:rFonts w:hint="default" w:ascii="Times New Roman" w:hAnsi="Times New Roman" w:cs="Times New Roman"/>
                <w:color w:val="auto"/>
                <w:highlight w:val="none"/>
              </w:rPr>
            </w:pPr>
            <w:r>
              <w:rPr>
                <w:rFonts w:hint="default" w:ascii="Times New Roman" w:hAnsi="Times New Roman" w:cs="Times New Roman"/>
                <w:color w:val="auto"/>
                <w:sz w:val="18"/>
                <w:szCs w:val="18"/>
                <w:highlight w:val="none"/>
              </w:rPr>
              <w:t>8</w:t>
            </w:r>
          </w:p>
        </w:tc>
        <w:tc>
          <w:tcPr>
            <w:tcW w:w="4687" w:type="pct"/>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ind w:firstLine="420"/>
              <w:jc w:val="left"/>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 xml:space="preserve">禁止引入C2710化学药品原料药制造、C2720化学药品制剂制造等产业，禁止引入单纯中间体生产（以中间体为最终产品）、抗生素类发酵制药项目等产生较大异味的化学药类企业。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457" w:hRule="atLeast"/>
          <w:tblHeader/>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360"/>
              <w:rPr>
                <w:rFonts w:hint="default" w:ascii="Times New Roman" w:hAnsi="Times New Roman" w:cs="Times New Roman"/>
                <w:color w:val="auto"/>
                <w:highlight w:val="none"/>
              </w:rPr>
            </w:pPr>
            <w:r>
              <w:rPr>
                <w:rFonts w:hint="default" w:ascii="Times New Roman" w:hAnsi="Times New Roman" w:cs="Times New Roman"/>
                <w:color w:val="auto"/>
                <w:sz w:val="18"/>
                <w:szCs w:val="18"/>
                <w:highlight w:val="none"/>
              </w:rPr>
              <w:t>9</w:t>
            </w:r>
          </w:p>
        </w:tc>
        <w:tc>
          <w:tcPr>
            <w:tcW w:w="4687" w:type="pct"/>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ind w:firstLine="420"/>
              <w:jc w:val="left"/>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禁止与园区生活空间冲突或经环保论证与周边企业、规划用地等环境不相容或存在重大环境风险隐患且无法消除的项目。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0" w:type="dxa"/>
            <w:bottom w:w="57" w:type="dxa"/>
            <w:right w:w="0" w:type="dxa"/>
          </w:tblCellMar>
        </w:tblPrEx>
        <w:trPr>
          <w:trHeight w:val="470" w:hRule="atLeast"/>
          <w:tblHeader/>
          <w:jc w:val="center"/>
        </w:trPr>
        <w:tc>
          <w:tcPr>
            <w:tcW w:w="312" w:type="pc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360"/>
              <w:rPr>
                <w:rFonts w:hint="default" w:ascii="Times New Roman" w:hAnsi="Times New Roman" w:cs="Times New Roman"/>
                <w:color w:val="auto"/>
                <w:highlight w:val="none"/>
              </w:rPr>
            </w:pPr>
            <w:r>
              <w:rPr>
                <w:rFonts w:hint="default" w:ascii="Times New Roman" w:hAnsi="Times New Roman" w:cs="Times New Roman"/>
                <w:color w:val="auto"/>
                <w:sz w:val="18"/>
                <w:szCs w:val="18"/>
                <w:highlight w:val="none"/>
              </w:rPr>
              <w:t>10</w:t>
            </w:r>
          </w:p>
        </w:tc>
        <w:tc>
          <w:tcPr>
            <w:tcW w:w="4687" w:type="pct"/>
            <w:tcBorders>
              <w:top w:val="single" w:color="auto" w:sz="4" w:space="0"/>
              <w:left w:val="single" w:color="auto" w:sz="4" w:space="0"/>
              <w:bottom w:val="single" w:color="auto" w:sz="4" w:space="0"/>
              <w:right w:val="single" w:color="auto" w:sz="4" w:space="0"/>
            </w:tcBorders>
            <w:noWrap w:val="0"/>
            <w:vAlign w:val="center"/>
          </w:tcPr>
          <w:p>
            <w:pPr>
              <w:widowControl/>
              <w:spacing w:line="312" w:lineRule="auto"/>
              <w:ind w:firstLine="420"/>
              <w:jc w:val="left"/>
              <w:rPr>
                <w:rFonts w:hint="default" w:ascii="Times New Roman" w:hAnsi="Times New Roman" w:cs="Times New Roman"/>
                <w:color w:val="auto"/>
                <w:sz w:val="21"/>
                <w:szCs w:val="21"/>
                <w:highlight w:val="none"/>
                <w:lang w:bidi="ar"/>
              </w:rPr>
            </w:pPr>
            <w:r>
              <w:rPr>
                <w:rFonts w:hint="default" w:ascii="Times New Roman" w:hAnsi="Times New Roman" w:cs="Times New Roman"/>
                <w:color w:val="auto"/>
                <w:sz w:val="21"/>
                <w:szCs w:val="21"/>
                <w:highlight w:val="none"/>
                <w:lang w:bidi="ar"/>
              </w:rPr>
              <w:t>禁止引入高耗能、高排放项目，水资源重复利用率低的行业。</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NGEwNTNlOWMwYThlOWMzMDRkOThhZDc4OGZiYjMifQ=="/>
  </w:docVars>
  <w:rsids>
    <w:rsidRoot w:val="2A547656"/>
    <w:rsid w:val="2A5476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表格正文"/>
    <w:basedOn w:val="1"/>
    <w:next w:val="1"/>
    <w:qFormat/>
    <w:uiPriority w:val="0"/>
    <w:pPr>
      <w:snapToGrid w:val="0"/>
      <w:jc w:val="center"/>
    </w:pPr>
    <w:rPr>
      <w:rFonts w:hint="default" w:ascii="Times New Roman"/>
      <w:color w:val="00000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2024-10-28T03:29:00Z</dcterms:created>
  <dc:creator>我是水汉子</dc:creator>
  <cp:lastModifiedBy>我是水汉子</cp:lastModifiedBy>
  <dcterms:modified xsi:type="dcterms:W3CDTF">2024-10-28T03:29:50Z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CB5A1F940363430D984A0111650F2054_11</vt:lpwstr>
  </property>
</Properties>
</file>