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255"/>
          <w:numId w:val="0"/>
        </w:numPr>
        <w:tabs>
          <w:tab w:val="left" w:pos="426"/>
          <w:tab w:val="left" w:pos="851"/>
        </w:tabs>
        <w:spacing w:line="500" w:lineRule="exact"/>
        <w:ind w:firstLine="560" w:firstLineChars="175"/>
        <w:jc w:val="lef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租金计算办法</w:t>
      </w:r>
      <w:bookmarkStart w:id="1" w:name="_GoBack"/>
      <w:bookmarkEnd w:id="1"/>
    </w:p>
    <w:p>
      <w:pPr>
        <w:spacing w:line="500" w:lineRule="exact"/>
        <w:ind w:firstLine="640" w:firstLineChars="200"/>
        <w:jc w:val="left"/>
        <w:rPr>
          <w:rFonts w:ascii="仿宋_GB2312" w:eastAsia="仿宋_GB2312" w:cs="Arial" w:hAnsiTheme="maj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ajorEastAsia"/>
          <w:kern w:val="0"/>
          <w:sz w:val="32"/>
          <w:szCs w:val="32"/>
          <w:lang w:val="en-US" w:eastAsia="zh-CN"/>
        </w:rPr>
        <w:t>按照本项目招租最终成交的租金价格按比例分摊至每一年，各年度租金金额支付比例如下表：</w:t>
      </w:r>
    </w:p>
    <w:tbl>
      <w:tblPr>
        <w:tblStyle w:val="4"/>
        <w:tblW w:w="753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051"/>
        <w:gridCol w:w="3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18" w:type="dxa"/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051" w:type="dxa"/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租赁年度</w:t>
            </w:r>
          </w:p>
        </w:tc>
        <w:tc>
          <w:tcPr>
            <w:tcW w:w="3569" w:type="dxa"/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租金支付比例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18" w:type="dxa"/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51" w:type="dxa"/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第一年度</w:t>
            </w:r>
          </w:p>
        </w:tc>
        <w:tc>
          <w:tcPr>
            <w:tcW w:w="3569" w:type="dxa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default" w:ascii="仿宋_GB2312" w:eastAsia="仿宋_GB2312" w:cs="Arial" w:hAnsi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  <w:lang w:val="en-US" w:eastAsia="zh-CN"/>
              </w:rPr>
              <w:t>31.72%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18" w:type="dxa"/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51" w:type="dxa"/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第二年度</w:t>
            </w:r>
          </w:p>
        </w:tc>
        <w:tc>
          <w:tcPr>
            <w:tcW w:w="3569" w:type="dxa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default" w:ascii="仿宋_GB2312" w:eastAsia="仿宋_GB2312" w:cs="Arial" w:hAnsi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  <w:lang w:val="en-US" w:eastAsia="zh-CN"/>
              </w:rPr>
              <w:t>33.31%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8" w:type="dxa"/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51" w:type="dxa"/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第三年度</w:t>
            </w:r>
          </w:p>
        </w:tc>
        <w:tc>
          <w:tcPr>
            <w:tcW w:w="3569" w:type="dxa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default" w:ascii="仿宋_GB2312" w:eastAsia="仿宋_GB2312" w:cs="Arial" w:hAnsi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  <w:lang w:val="en-US" w:eastAsia="zh-CN"/>
              </w:rPr>
              <w:t>34.91%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500" w:lineRule="exact"/>
              <w:ind w:firstLine="0" w:firstLineChars="0"/>
              <w:jc w:val="center"/>
              <w:rPr>
                <w:rFonts w:ascii="仿宋_GB2312" w:eastAsia="仿宋_GB2312" w:cs="Arial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24"/>
                <w:szCs w:val="24"/>
              </w:rPr>
              <w:t>成交金额的100%</w:t>
            </w:r>
          </w:p>
        </w:tc>
      </w:tr>
    </w:tbl>
    <w:p>
      <w:pPr>
        <w:spacing w:line="50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（三）租金变更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1.租赁期内，如非出租人原因导致实际布设的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自助贩售设备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lang w:val="en-US" w:eastAsia="zh-CN"/>
        </w:rPr>
        <w:t>共享充电宝机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）场地数量有所减少，场地租赁费用不予扣减。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position w:val="-26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2.如因出租人原因导致交付的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自助贩售设备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lang w:val="en-US" w:eastAsia="zh-CN"/>
        </w:rPr>
        <w:t>共享充电宝机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）场地数量有所减少；或承租人在取得出租人许可后，申请增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自助贩售设备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lang w:val="en-US" w:eastAsia="zh-CN"/>
        </w:rPr>
        <w:t>共享充电宝机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）场地数量，出租人根据实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际交付的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自助贩售设备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lang w:val="en-US" w:eastAsia="zh-CN"/>
        </w:rPr>
        <w:t>共享充电宝机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）场地数量对租金予以相应调整，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参照《评估报告》中的点位价值表及最终成交价按比例反推调整租金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pStyle w:val="6"/>
        <w:numPr>
          <w:ilvl w:val="255"/>
          <w:numId w:val="0"/>
        </w:numPr>
        <w:tabs>
          <w:tab w:val="left" w:pos="426"/>
          <w:tab w:val="left" w:pos="851"/>
        </w:tabs>
        <w:spacing w:line="500" w:lineRule="exact"/>
        <w:ind w:firstLine="560" w:firstLineChars="175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0" w:name="_Toc98941184"/>
      <w:r>
        <w:rPr>
          <w:rFonts w:hint="eastAsia" w:ascii="黑体" w:hAnsi="黑体" w:eastAsia="黑体"/>
          <w:sz w:val="32"/>
          <w:szCs w:val="32"/>
        </w:rPr>
        <w:t>电费结算和支付</w:t>
      </w:r>
      <w:bookmarkEnd w:id="0"/>
    </w:p>
    <w:p>
      <w:pPr>
        <w:spacing w:line="500" w:lineRule="exact"/>
        <w:ind w:firstLine="640" w:firstLineChars="200"/>
        <w:jc w:val="left"/>
        <w:rPr>
          <w:rFonts w:ascii="仿宋_GB2312" w:eastAsia="仿宋_GB2312" w:cs="Arial" w:hAnsiTheme="majorEastAsia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Arial" w:hAnsiTheme="majorEastAsia"/>
          <w:kern w:val="0"/>
          <w:sz w:val="32"/>
          <w:szCs w:val="32"/>
        </w:rPr>
        <w:t>经营期内，合同经营范围内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lang w:val="en-US" w:eastAsia="zh-CN"/>
        </w:rPr>
        <w:t>贵阳轨道交通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lang w:eastAsia="zh-CN"/>
        </w:rPr>
        <w:t>三号线</w:t>
      </w:r>
      <w:r>
        <w:rPr>
          <w:rFonts w:hint="eastAsia" w:ascii="仿宋_GB2312" w:eastAsia="仿宋_GB2312" w:cs="Arial" w:hAnsiTheme="majorEastAsia"/>
          <w:kern w:val="0"/>
          <w:sz w:val="32"/>
          <w:szCs w:val="32"/>
        </w:rPr>
        <w:t>一期车站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lang w:val="en-US" w:eastAsia="zh-CN"/>
        </w:rPr>
        <w:t>站厅层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lang w:eastAsia="zh-CN"/>
        </w:rPr>
        <w:t>自助贩售设备</w:t>
      </w:r>
      <w:r>
        <w:rPr>
          <w:rFonts w:hint="eastAsia" w:ascii="仿宋_GB2312" w:eastAsia="仿宋_GB2312" w:cs="Arial" w:hAnsiTheme="majorEastAsia"/>
          <w:kern w:val="0"/>
          <w:sz w:val="32"/>
          <w:szCs w:val="32"/>
        </w:rPr>
        <w:t>（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lang w:val="en-US" w:eastAsia="zh-CN"/>
        </w:rPr>
        <w:t>共享充电宝机</w:t>
      </w:r>
      <w:r>
        <w:rPr>
          <w:rFonts w:hint="eastAsia" w:ascii="仿宋_GB2312" w:eastAsia="仿宋_GB2312" w:cs="Arial" w:hAnsiTheme="majorEastAsia"/>
          <w:kern w:val="0"/>
          <w:sz w:val="32"/>
          <w:szCs w:val="32"/>
        </w:rPr>
        <w:t>）产生的电费由承租人承担，承租人须向出租人支付电费。电费按月结算，具体如下：</w:t>
      </w:r>
    </w:p>
    <w:p>
      <w:pPr>
        <w:spacing w:line="460" w:lineRule="exact"/>
        <w:ind w:firstLine="640" w:firstLineChars="200"/>
        <w:jc w:val="left"/>
        <w:outlineLvl w:val="1"/>
        <w:rPr>
          <w:rFonts w:ascii="仿宋_GB2312" w:eastAsia="仿宋_GB2312" w:cs="Arial" w:hAnsiTheme="majorEastAsia"/>
          <w:kern w:val="0"/>
          <w:sz w:val="32"/>
          <w:szCs w:val="32"/>
          <w:u w:val="none"/>
        </w:rPr>
      </w:pPr>
      <w:r>
        <w:rPr>
          <w:rFonts w:hint="eastAsia" w:ascii="仿宋_GB2312" w:eastAsia="仿宋_GB2312" w:cs="Arial" w:hAnsiTheme="majorEastAsia"/>
          <w:kern w:val="0"/>
          <w:sz w:val="32"/>
          <w:szCs w:val="32"/>
          <w:u w:val="none"/>
        </w:rPr>
        <w:t>（一）当月应缴纳电费=承租人当月用电量*当月平均电价。</w:t>
      </w:r>
    </w:p>
    <w:p>
      <w:pPr>
        <w:spacing w:line="460" w:lineRule="exact"/>
        <w:ind w:firstLine="640" w:firstLineChars="200"/>
        <w:jc w:val="left"/>
        <w:rPr>
          <w:rFonts w:ascii="仿宋_GB2312" w:eastAsia="仿宋_GB2312" w:cs="Arial" w:hAnsiTheme="majorEastAsia"/>
          <w:kern w:val="0"/>
          <w:sz w:val="32"/>
          <w:szCs w:val="32"/>
          <w:u w:val="none"/>
        </w:rPr>
      </w:pPr>
      <w:r>
        <w:rPr>
          <w:rFonts w:hint="eastAsia" w:ascii="仿宋_GB2312" w:eastAsia="仿宋_GB2312" w:cs="Arial" w:hAnsiTheme="majorEastAsia"/>
          <w:kern w:val="0"/>
          <w:sz w:val="32"/>
          <w:szCs w:val="32"/>
          <w:u w:val="none"/>
        </w:rPr>
        <w:t>（二）当月平均电价=出租人当月向供电部门缴纳的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u w:val="none"/>
          <w:lang w:eastAsia="zh-CN"/>
        </w:rPr>
        <w:t>三号线</w:t>
      </w:r>
      <w:r>
        <w:rPr>
          <w:rFonts w:hint="eastAsia" w:ascii="仿宋_GB2312" w:eastAsia="仿宋_GB2312" w:cs="Arial" w:hAnsiTheme="majorEastAsia"/>
          <w:kern w:val="0"/>
          <w:sz w:val="32"/>
          <w:szCs w:val="32"/>
          <w:u w:val="none"/>
        </w:rPr>
        <w:t>一期线路的电费总额/当月总用电量。</w:t>
      </w:r>
    </w:p>
    <w:p>
      <w:pPr>
        <w:spacing w:line="4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仿宋_GB2312" w:eastAsia="仿宋_GB2312" w:cs="Arial" w:hAnsiTheme="majorEastAsia"/>
          <w:kern w:val="0"/>
          <w:sz w:val="32"/>
          <w:szCs w:val="32"/>
          <w:u w:val="none"/>
        </w:rPr>
        <w:t>（三）承租人当月用电量=承租人所有用电设备总额定功率*当月天数*每日设备运行时长(小时)。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MzAxYzNjYWIxZDY1MGVhZTVmM2JmNTNjNGQ5MmQifQ=="/>
  </w:docVars>
  <w:rsids>
    <w:rsidRoot w:val="00000000"/>
    <w:rsid w:val="5F8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napToGrid w:val="0"/>
      <w:spacing w:line="560" w:lineRule="exact"/>
      <w:ind w:firstLine="643" w:firstLineChars="200"/>
    </w:pPr>
    <w:rPr>
      <w:rFonts w:eastAsia="方正楷体简体"/>
      <w:b/>
      <w:bCs/>
      <w:sz w:val="32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怡~ (^.^)</cp:lastModifiedBy>
  <dcterms:modified xsi:type="dcterms:W3CDTF">2024-05-20T07:50:16Z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FE66446A8EA24D6C9F7EDD25B87D4AA6_12</vt:lpwstr>
  </property>
</Properties>
</file>